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PE16.000358 vom 21. Oktober 2016</w:t>
      </w:r>
    </w:p>
    <w:p>
      <w:r>
        <w:t>VD Tribunal cantonal, 2016-10-21, FR</w:t>
      </w:r>
    </w:p>
    <w:p>
      <w:r>
        <w:rPr>
          <w:b/>
        </w:rPr>
        <w:t xml:space="preserve">Quelle: </w:t>
      </w:r>
      <w:r>
        <w:t>https://mcp.opencaselaw.ch/entscheid/vd_gerichte_PE16.000358</w:t>
      </w:r>
    </w:p>
    <w:p>
      <w:r>
        <w:t>FR: VD_GERICHTE PE16.000358 du 21 octobre 2016</w:t>
      </w:r>
    </w:p>
    <w:p>
      <w:r>
        <w:t>IT: VD_GERICHTE PE16.000358 del 21 ottobre 2016</w:t>
      </w:r>
    </w:p>
    <w:p>
      <w:pPr>
        <w:pStyle w:val="Heading2"/>
      </w:pPr>
      <w:r>
        <w:t>Erwägungen</w:t>
      </w:r>
    </w:p>
    <w:p>
      <w:r>
        <w:rPr>
          <w:b/>
        </w:rPr>
        <w:t>E. 15</w:t>
      </w:r>
    </w:p>
    <w:p>
      <w:r>
        <w:t>; PV aud. 1, p. 3 R7). Mal fondé, ce moyen doit être rejeté. 4. L’appelant soutient ensuite que sa participation aux infractions a toujours été subordonnée, qu’il avait toujours joué des seconds rôles et qu’il n’était qu’un auxiliaire (déclaration d’appel, p. 5). L’examen des divers cambriolages montre au contraire qu’il était toujours présent sur les lieux des crimes. Il s’agit ainsi d’un rôle de premier plan. 5. 5.1 M.________ soutient enfin que, dans l’hypothèse où le cambriolage de la B.Z.________ ne serait pas retenu à son encontre, la sanction qui lui a été infligée serait d’une sévérité excessive par rapport à son activité délictueuse. Il ne conteste ainsi pas la peine en tant que telle mais seulement au regard de l’infraction réfutée. Il estime que la Cour doit tenir compte du fait qu’il a agi principalement pour se nourrir, qu’il n’a pratiquement retiré aucun bénéfice de son activité délictueuse et de son bon comportement en détention (déclaration d’appel, p. 6).</w:t>
      </w:r>
    </w:p>
    <w:p>
      <w:r>
        <w:t>- 15 - En l’occurrence, les moyens de l’appelant ont tous été rejetés. La peine sera toutefois vérifiée d’office.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5.3 En l’occurrence, force est de constater que le mobile se confond avec l’appât du gain et non avec une situation de précarité. En effet, M.________ avait un travail dans son pays. Il a cependant préféré venir commettre des cambriolages en Suisse. Pour le surplus, la peine prononcée est adéquate et doit être confirmée, la Cour de céans faisant entièrement sienne la motivation complète et convaincante des premiers juges telle qu’exposée dans le jugement entrepris (art. 82 al. 4 CPP; jugement du 21 octobre 2016, pp. 21 ss). Vu les antécédents de l’intéressé, cette peine sera ferme (art. 42 al. 2 CP), ce qui n’est d’ailleurs pas contesté.</w:t>
      </w:r>
    </w:p>
    <w:p>
      <w:r>
        <w:t>- 16 - 6. En définitive, mal fondé, l’appel doit être rejeté et le jugement entrepris intégralement confirmé. Vu l’issue de la cause, les frais d’appel, constitués de l’émolument d’arrêt, par 1’500 fr., ainsi que des indemnités allouées au défenseur d’office, par 1'868 fr. 40, TVA et débours inclus, sont mis à la charge de l’appelant, qui succombe. S’agissant de l’indemnité demandée par Me Véronique Fontana, défenseur d’office de l’appelant, on précisera que celle-ci a fait état d’une liste d’opérations mentionnant 7 heures et 45 centièmes d’activité, durée de l’audience non comprise, et de deux vacations par 120 fr. chacune ainsi que des débours. Ce décompte peut être admis à raison de 8 heures, compte tenu de la durée de l'audience. En définitive, c’est un montant de 1'868 fr. 40, TVA, indemnité de vacations et débours compris, qui doit être alloué à Me Véronique Fontana à titre d’indemnité d’office pour la procédure d’appel. M.________ ne sera tenu de rembourser à l'Etat l’indemnité en faveur de son défenseur d'office que lorsque sa situation financière le permettra. Enfin, il s’avère que le dispositif communiqué après l’audience d’appel contient deux erreurs de plume à ses chiffres II et IV en ce sens que c’est le Tribunal correctionnel de l’arrondissement de La Côte qui a rendu le jugement attaqué et non le Tribunal correctionnel de l’arrondissement de Lausanne (II); et que c’est le maintien en détention de M.________ à titre d’exécution anticipée de peine qui doit être ordonné, et non son maintien en détention à titre de sûreté (IV). S’agissant d’erreurs manifestes,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