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PE15.025644 vom 3. Mai 2016</w:t>
      </w:r>
    </w:p>
    <w:p>
      <w:r>
        <w:t>VD Tribunal cantonal, 2016-05-03, FR</w:t>
      </w:r>
    </w:p>
    <w:p>
      <w:r>
        <w:rPr>
          <w:b/>
        </w:rPr>
        <w:t xml:space="preserve">Quelle: </w:t>
      </w:r>
      <w:r>
        <w:t>https://mcp.opencaselaw.ch/entscheid/vd_gerichte_PE15.025644</w:t>
      </w:r>
    </w:p>
    <w:p>
      <w:r>
        <w:t>FR: VD_GERICHTE PE15.025644 du 3 mai 2016</w:t>
      </w:r>
    </w:p>
    <w:p>
      <w:r>
        <w:t>IT: VD_GERICHTE PE15.025644 del 3 maggio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Interjeté, dans le délai légal (l’ordonnance, approuvée par le Procureur général le 25 janvier 2016, ayant été adressée au plaignant sous pli déposé à la poste le 29 janvier suivant), auprès de l’autorité compétente par le plaignant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w:t>
      </w:r>
    </w:p>
    <w:p>
      <w:r>
        <w:rPr>
          <w:b/>
        </w:rPr>
        <w:t>E. 5</w:t>
      </w:r>
    </w:p>
    <w:p>
      <w:r>
        <w:t>avril 2012 consid. 2.1: Cornu, in : Kuhn/Jeanneret [éd.], Commentaire romand, Code de procédure pénale suisse, Bâle 2011, n. 2 ad art. 310 CPP) – par le Ministère public lorsqu'il apparaît, à réception de la dénonciation (cf. art. 301 ss CPP) ou de la plainte (Cornu, op. cit., n. 1 ad</w:t>
      </w:r>
    </w:p>
    <w:p>
      <w:r>
        <w:t>- 4 -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 3. 3.1 Le recourant s’attache à exposer dans son acte de recours la liste des faits qui seraient selon lui constitutifs d’une infraction pénale, soutenant d’une manière générale qu’il aurait fait l’objet de mauvais traitements et que le droit n’aurait pas été respecté lors de l’intervention à laquelle il a été procédé à son encontre. 3.2 La Convention de New York du 10 décembre 1984 contre la torture et autres peines ou traitements cruels, inhumains ou dégradants (entrée en vigueur pour la Suisse le 26 juin 1987; RS 0.105) oblige les Etats parties à se doter d'une loi qui punisse de manière appropriée les actes de torture, ainsi que les actes constitutifs de peines ou de traitements cruels, inhumains ou dégradants, et à instituer des tribunaux compétents pour appliquer cette loi (cf. art. 4, 5 et 16). Son art. 12 oblige les Etats parties à veiller à ce que les autorités compétentes procèdent immédiatement à une enquête impartiale à chaque fois qu'il existe des motifs raisonnables de croire qu'un tel acte a été commis sur un territoire soumis à leur juridiction (TF 1B_105/2011 du 14 septembre 2011 consid. 3.1). Quant à la Convention du 4 novembre 1950 de sauvegarde des droits de l'homme et des libertés fondamentales (CEDH, entrée en vigueur pour la Suisse le 28 novembre 1974; RS 0.101), elle garantit au justiciable le droit à une enquête officielle approfondie et effective (cf. art. 3 et 13 CEDH). Fondant une obligation de moyens, et non de résultat, la Convention impose aux autorités nationales de prendre toutes les mesures</w:t>
      </w:r>
    </w:p>
    <w:p>
      <w:r>
        <w:t>- 5 - raisonnables possibles pour obtenir les preuves relatives aux faits en question, telles que l'audition des personnes impliquées, les dépositions des témoins oculaires, les expertises ou les certificats médicaux. Toute défaillance dans les investigations qui compromet la capacité des autorités à établir les faits ou les responsabilités peut être constitutive d'une violation de l'art. 3 CEDH. Par ailleurs, les autorités doivent agir avec célérité et diligence (cf. arrêt de la CourEDH Abdu c. Bulgarie du 11 mars 2014, par. 43: TF 1B_771/2012 du 20 août 2013 consid. 2.1: TF 1B_10/2012 du 29 mars 2012 consid. 1.2.3). Selon la jurisprudence du Tribunal fédéral, celui qui prétend de manière défendable avoir été traité d'une façon dégradante par un fonctionnaire de police a droit à une enquête officielle effective et approfondie (ATF 131 I 455 consid. 1.2.5). La jurisprudence reconnaît aux personnes qui se prétendent victimes de traitements prohibés,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(ATF 138 IV 86 consid. 3.1; cf. aussi CREP du 29 février 2016/133). 3.3 En l’espèce, le recourant affirme que, lors de son arrestation, le gendarme incriminé par son matricule et ses collègues lui auraient infligé des lésions corporelles, s’agissant en particulier du bris de trois dents et d’une couronne dentaire. Il a produit un rapport médical libellé le 28 octobre 2015 sur formulaire ad hoc de l’assurance-maladie (P. 7/1/2) ainsi qu’un rapport complémentaire établi par le cabinet dentaire [...] le 8 mars 2016 (P. 10/1) qui attestent de l’existence de lésions dentaires. Au vu de ces éléments et de la jurisprudence précitée, l’ordonnance de non-entrée en matière rendue par le Ministère public ne peut pas être confirmée. Il convient en effet de procéder à la vérification des déclarations du plaignant, qui bénéficie comme tout justiciable d’un droit à la mise en œuvre d’une enquête effective (CREP 29 février 2016/133).</w:t>
      </w:r>
    </w:p>
    <w:p>
      <w:r>
        <w:t>- 6 - Il incombe par conséquent au Procureur d’ouvrir une instruction afin d’élucider, dans la mesure du possible, les faits de la cause, le cas échéant en procédant notamment à l’audition de tout ou partie des gendarmes de la patrouille intervenue à l’égard du recourant le 12 septembre 2015. 4. Il résulte de ce qui précède que le recours doit être admis, l'ordonnance de non-entrée en matière du 6 janvier 2016 annulée et la cause renvoyée au Ministère public pour qu'il procède dans le sens des considérants (cf. consid. 3.3). Les frais de la procédure de recours, constitués en l'espèce du seul émolument d'arrêt, par 660 fr. (art. 422 al. 1 CPP et 20 al. 1 TFIP [Tarif des frais de procédure et indemnités en matière pénale du 28 septembre 2010; RSV 312.03.1]), seront laissés à la charge de l’Etat (art. 423 al. 1 CPP). S’agissant des dépens réclamés par le recourant, il appartiendra, le cas échéant, à ce dernier d’adresser à la fin de la procédure ses prétentions à l’autorité pénale compétente selon l’art. 433 al. 2 CPP (CREP 16 avril 2013/279 consid. 4 et les références citées). Par ces motifs, la Chambre des recours pénale prononce : I. Le recours est admis.</w:t>
      </w:r>
    </w:p>
    <w:p>
      <w:r>
        <w:t>- 7 - II. L’ordonnance du 6 janvier 2016 est annulée. III. Le dossier de la cause est renvoyé au Ministère public de l’arrondissement de La Côte pour qu’il procède dans le sens des considérants. IV. Les frais d’arrêt, par 660 fr. (six cent soixante francs), sont laissés à la charge de l’Etat. V. Le présent arrêt est exécutoire. Le président : Le greffier : Du Le présent arrêt, dont la rédaction a été approuvée à huis clos, est notifié, par l'envoi d'une copie complète, à : - Me Henri Bercher, avocat (pour U.________), - Ministère public central, et communiqué à : - M. le Procureur du Ministère public de l’arrondissement de La Côte,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