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PE15.025540 vom 15. Juni 2018</w:t>
      </w:r>
    </w:p>
    <w:p>
      <w:r>
        <w:t>VD Tribunal cantonal, 2018-06-15, FR</w:t>
      </w:r>
    </w:p>
    <w:p>
      <w:r>
        <w:rPr>
          <w:b/>
        </w:rPr>
        <w:t xml:space="preserve">Quelle: </w:t>
      </w:r>
      <w:r>
        <w:t>https://mcp.opencaselaw.ch/entscheid/vd_gerichte_PE15.025540</w:t>
      </w:r>
    </w:p>
    <w:p>
      <w:r>
        <w:t>FR: VD_GERICHTE PE15.025540 du 15 juin 2018</w:t>
      </w:r>
    </w:p>
    <w:p>
      <w:r>
        <w:t>IT: VD_GERICHTE PE15.025540 del 15 giugno 2018</w:t>
      </w:r>
    </w:p>
    <w:p>
      <w:pPr>
        <w:pStyle w:val="Heading2"/>
      </w:pPr>
      <w:r>
        <w:t>Erwägungen</w:t>
      </w:r>
    </w:p>
    <w:p>
      <w:r>
        <w:rPr>
          <w:b/>
        </w:rPr>
        <w:t>E. 10</w:t>
      </w:r>
    </w:p>
    <w:p>
      <w:r>
        <w:t>bis produites par eux le 30 juin 2017 (P. 23/10 et 23/10bis) que ces personnes avaient versé des fonds au prévenu en vue de la constitution</w:t>
      </w:r>
    </w:p>
    <w:p>
      <w:r>
        <w:t>- 4 - d’une société offshore et que le sort de ces fonds était inconnu ; en outre, ils ont requis qu’il soit procédé à une nouvelle audition du prévenu. B. Par ordonnance du 12 décembre 2017, le Ministère public a prononcé le classement de la procédure pénale dirigée contre B.________, pour faux dans titres, faux dans les certificats et escroquerie (I), a alloué à celui-ci une indemnité au sens de l’art. 429 CPP d’un montant de 2'555 fr. 90, à la charge de l’Etat (II), et a laissé les frais de procédure à la charge de l’Etat (III). En préambule à cette ordonnance, le Ministère public a rejeté les réquisitions de preuve présentée par les plaignants dans leur courrier du 26 octobre 2017. C. Par acte du 3 janvier 2018, L.________ et P.________ ont recouru contre cette ordonnance, en concluant à son annulation et au renvoi de la cause au Ministère public pour complément d'instruction dans le sens des réquisitions qu'ils avaient présentées et pour l'établissement d'un acte d'accusation contre le prévenu. Il n'a pas été ordonné d'échange d'écritures. En d roit : 1. 1.1 Aux termes de l’art. 382 al. 1 CPP (Code de procédure pénale suisse du 5 octobre 2007; RS 312.0), toute partie qui a un intérêt juridiquement protégé à l’annulation ou à la modification d’une décision a qualité pour recourir contre celle-ci. Selon l’art. 104 al. 1 let. b CPP, la partie plaignante a la qualité de partie, lors des débats ou dans la procédure de recours. On entend par partie plaignante le lésé qui déclare expressément vouloir participer à la procédure pénale comme demandeur</w:t>
      </w:r>
    </w:p>
    <w:p>
      <w:r>
        <w:t>- 5 -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(cf., in casu, consid. 2.2.2.4).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(TF 1B_372/2016 du 17 janvier 2017 consid. 3.1 ; ATF 141 IV 1 consid. 3.1). 1.2 Comme on le verra plus avant, L.________ n’a pas la qualité pour recourir, car de son propre aveu, il ne peut pas être lésé par les infractions qui restent en cause, et n’a donc pas d’intérêt juridiquement protégé à l’annulation de l'ordonnance attaquée. Le recours est dès lors irrecevable en tant qu'il le concerne (cf. infra consid. 2.4.1). Quant à P.________, il n’a pas la qualité pour recourir s’agissant des infractions de faux dans les titres et de faux dans les certificats, et n’a donc pas sur ce point d’intérêt à l’annulation de l'ordonnance attaquée (cf. infra consid. 2.4.2). Pour le surplus, son recours a été déposé dans le délai légal (art. 396 al. 1 CPP), contre une ordonnance de classement du Ministère public (art. 393 al. 1 let. a CPP) et répond aux exigences de forme prescrites (art. 385 al. 1 CPP), de sorte qu'il est recevable. 2. 2.1 Les recourants soutiennent que l'ordonnance de classement aurait été rendue en violation de l’art. 319 CPP. Ils invoquent que, pour déterminer si le prévenu a fait preuve d’astuce, il serait nécessaire de connaître de quelle manière il a présenté les documents de constitution de la société offshore et quel a été son comportement par rapport à ses potentielles dupes. Ils soulignent qu’il serait pour le moins surprenant que</w:t>
      </w:r>
    </w:p>
    <w:p>
      <w:r>
        <w:t>- 6 - le prévenu ait présenté des documents provenant d’une société K.________Ltd pour fonder une société aux Iles Vierges Britanniques à des personnes associés d’une société à responsabilité limitée suisse. Enfin, ils décèlent des contradictions entre les déclarations du prévenu lors de son audition et les pièces au dossier (P. 23/10 et 23/10bis) 2.2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186 consid 4.1 p. 190). 2.2.2</w:t>
      </w:r>
    </w:p>
    <w:p>
      <w:r>
        <w:t>- 7 - 2.2.2.1 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142 IV 153 consid. 2.2.2 p. 154 s.; ATF 135 IV 76 consid. 5.2 p. 81 s. et les références citées). Tel est notamment le cas si l'auteur conclut un contrat en ayant d'emblée l'intention de ne pas fournir sa prestation alors que son intention n'était pas décelable (ATF 118 IV 359 consid. 2 p. 361 s.; cf. également ATF 142 IV 153 consid. 2.2.4 p. 157), s'il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142 IV 153 consid. 2.2.2 p. 155).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w:t>
      </w:r>
    </w:p>
    <w:p>
      <w:r>
        <w:t>- 8 - Une coresponsabilité de la dupe n'exclut l'astuce que dans des cas exceptionnels (ATF 142 IV 153 consid. 2.2.2 p. 154 s. et les références citées).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2.2.2.2 Aux termes de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p. 134). Un simple mensonge écrit ne constitue cependant pas un faux intellectuel. Le document doit revêtir une crédibilité accrue et son destinataire pouvoir s'y fier raisonnablement (ATF 142 IV 119 consid. 2.1 ; ATF 138 IV 130 consid. 2.1 p. 134; ATF 132 IV 12 consid. 8.1 p. 14 s.). Tel est le cas lorsque certaines assurances objectives garantissent aux tiers la véracité de la déclaration. Il peut s'agir, par</w:t>
      </w:r>
    </w:p>
    <w:p>
      <w:r>
        <w:t>- 9 - exemple, d'un devoir de vérification qui incombe à l'auteur du document ou de l'existence de dispositions légales qui définissent le contenu du document en question (ATF 142 IV 119 précité ; ATF 132 IV 12 consid. 8.1 p. 15 ; ATF 129 IV 130 consid. 2.1 p. 134). En revanche, le simple fait que l'expérience montre que certains écrits jouissent d'une crédibilité particulière ne suffit pas, même si dans la pratique des affaires il est admis que l'on se fie à de tels documents (ATF 138 IV 130 consid. 2.1 p. 134 ; ATF 132 IV 12 consid. 8.1 p. 15). La notion de titre utilisé par l’art. 251 CP est définie par l'art. 110 al.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dispositions du droit pénal sur les infractions relatives aux titres protègent la confiance qui, dans les relations juridiques, est placée dans un titre comme moyen de preuve (ATF 142 IV 119 précité ; ATF 138 IV 130 consid. 2.1 p. 134). C'est pourquoi parmi les titres on ne trouve notamment que les écrits destinés et propres à prouver un fait ayant une portée juridique. Le caractère de titre d'un écrit est relatif. Par certains aspects, il peut avoir ce caractère, par d'autres non (ATF 138 IV 130 consid. 2.2. 1 p. 135; ATF 132 IV 57 consid. 5.1 p. 59). La destination et l'aptitude à prouver un fait précis d'un document peuvent résulter directement de la loi, des usages commerciaux ou du sens et de la nature dudit document (ATF 142 IV 19 ; ATF138 IV 130 consid. 2.2. 1 p. 135; ATF 132 IV 57 consid. 5.1 p. 59). 2.2.2.3 D'après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t>- 10 - 2.2.2.4 Les infractions de faux dans les titres (art. 251 CP) ou de faux dans les certificats (art. 252 CP) protègent, en tant que bien juridique, d'une part la confiance particulière placée dans un titre ayant valeur probante dans les rapports juridiques et, d'autre part, la loyauté dans les relations commerciales (ATF 142 IV 119 consid. 2.2 p. 121 s.; 138 IV 130 consid. 2.1 p. 134; 132 IV 12 consid. 8.1 p. 14). Ces dispositions visent d'abord un bien juridique collectif (Dupuis et alii, Petit commentaire, Code pénal, 2e éd. 2017, n° 2 ad rem. prél. aux art. 251 à 257 CP). Toutefois, le faux dans les titres, respectivement dans les certificats, peut également porter atteinte à des intérêts individuels. En particulier, une personne peut être considérée comme lésée par un faux dans les titres lorsque le faux vise précisément à lui nuire (ATF 140 IV 155 consid. 3.3.3 p. 159 ; ATF 119 Ia 342 consid. 2b p. 346 s. et les références citées). Tel est le cas lorsque le faux est l'un des éléments d'une infraction contre le patrimoine; la personne dont le patrimoine est menacé ou atteint a alors la qualité de lésé (ATF 119 Ia 342 consid. 2b p. 346 s.; TF 6B_1151/2014 du 16 décembre 2015 consid. 1.1; TF 6B_549/2013 du 24 février 2014 consid. 2.2.2). 2.3 En l'espèce, le Procureur a retenu en fait que F.________Sàrl avait décidé lors d’une assemblée générale de développer des activités à l’étranger et que les documents litigieux avaient été adressés au prévenu par K.________Ltd, société à laquelle celui-ci s’était adressé par Internet pour obtenir des renseignements sur la fondation de sociétés offshore et plus particulièrement aux Iles Vierges Britanniques. Le Procureur a estimé que ces documents étaient des exemples de statuts, d’actions et d’autres documents nécessaires – selon K.________Ltd – pour fonder une telle société, mais ne pouvaient pas être confondus avec des documents officiels ; en particulier, les sceaux apposés n'étaient que de simples autocollants. Il en a déduit que ces documents ne pouvaient pas être qualifiés de faux, au sens du droit pénal ; les infractions de faux dans les titres et de faux dans les certificats ne pouvaient donc pas entrer en ligne de compte. Il a également exclu que l’infraction d’escroquerie puisse être réalisée, faute d’astuce. En effet, le prévenu avait présenté les documents</w:t>
      </w:r>
    </w:p>
    <w:p>
      <w:r>
        <w:t>- 11 - reçus de K.________Ltd afin d’avancer dans les démarches de fondation de la société offshore; ces démarches supposaient la libération d’apports par les personnes intéressées à investir dans cette nouvelle société. Il n’y avait ni affirmations fallacieuses ni dissimulation de faits vrais pour induire les investisseurs en erreur. 2.4 Il ressort des renseignements tirés de l’extrait du registre du commerce relatif à F.________Sàrl (société à responsabilité limitée sise à [...], dont le capital social d’un montant de 20'001 fr. est composé de 199 parts à 100 fr. et d’une part à 101 fr.) et des pièces au dossier que le recourant P.________ est associé gérant président de cette société (avec 39 parts à 100 fr. et 1 part à 101 fr.) et que L.________, B.________, R.________ et W.________ en sont associés gérants (avec chacun 40 parts à 100 fr.) ; tous ont un pouvoir de signature collective à deux. 2.4.1 Il ressort de l’audition de L.________ que, lors d’une assemblée générale, le prévenu a proposé aux associés gérants présents de fonder une autre société ayant le même domaine d’activité, mais qui serait basée aux Iles Vierges Britanniques pour des raisons fiscales, qu’une décision favorable a été prise à cette occasion et que certains des membres présents se sont engagés à verser une somme donnée dans cette nouvelle société (PV aud. 1, ll. 37 à 50) ; L.________ admet cependant qu’il n’était pas présent lors de cette assemblée et qu’il n’a personnellement pas été approché par le prévenu pour participer à la fondation de la société offshore (PV aud. 1, ll. 48-49 et 71-72). Dans ces conditions, le recourant L.________ ne peut pas avoir été lésé par les actes reprochés au prévenu en relation avec la fondation de cette société. Sa qualité de lésé faisant de son propre aveu défaut, son recours n’est pas recevable. 2.4.2 Il ressort de l’audition de P.________ que le prévenu a proposé lors d’une assemblée générale de F.________Sàrl de créer une société offshore et qu’à cette occasion, selon le procès-verbal de cette assemblée, les deux associés gérants W.________ et R.________ ont accepté le principe de verser des apports dans cette nouvelle société, mais qu’il ignorait s’ils l’avaient finalement fait. Selon P.________, le recourant aurait essayé de le</w:t>
      </w:r>
    </w:p>
    <w:p>
      <w:r>
        <w:t>- 12 - convaincre de transférer dans cette nouvelle société l’apport qu’il avait fait dans la société suisse, mais qu’il avait refusé, raison pour laquelle le prévenu l’aurait « mis de côté » pour la suite des opérations (PV aud. 1, ll. 74-78 et 83-90). Il a ajouté qu’il avait appris que H.________ et V.________ avaient effectué à cet effet des apports, de 5'000 fr. chacun à sa connaissance (PV aud., ll. 78-82). Dans ces conditions, le recourant P.________, qui de son propre aveu a été écarté très tôt de l’opération, ne peut tout au plus avoir été la victime que d’une tentative d’escroquerie. Dans sa plainte, P.________ prétend que les documents officiels que le prévenu a présentés l’auraient été à des tiers, et non à lui-même (P. 6 p. 2). C’est dire que lui-même ne prétend pas avoir été lésé par les infractions de faux dans les titres ou de faux dans les certificats, ni ne prétend que la tentative d’escroquerie dont il aurait été la victime aurait un faux parmi ses éléments. Sa qualité de lésé faisant défaut pour les infractions de faux dans les titres et de faux dans les certificats, son recours n’est pas recevable en ce qui concerne ces infractions. Il reste à examiner s’il existe un soupçon justifiant une mise en accusation pour l’infraction d’escroquerie. 2.5 En l’occurrence, s’agissant du début des événements, l’audition du prévenu est concordante avec celle des deux plaignants (reproduite au considérant précédent) : B.________ a en effet exposé qu’il avait proposé au sein des associés de F.________Sàrl de fonder une société offshore aux Iles Vierges Britanniques pour développer des activités à l’étranger, mais que L.________ qui quittait la société n’était pas intéressé (PV aud. 2, ll. 32-41). Le prévenu a ensuite expliqué dans son audition que, n’ayant aucune connaissance en matière de sociétés offshore, il avait fait des recherches sur Internet et était tombé sur une société, K.________Ltd, qui proposait de créer de telles entités ; c’était cette société qui avait effectué les démarches de fondation, c’était lui qui l’avait mandatée et c’était lui</w:t>
      </w:r>
    </w:p>
    <w:p>
      <w:r>
        <w:t>- 13 - qui avait payé ses services à concurrence de 1'755 USD (PV aud. 2, ll. 42- 52). Ces déclarations sont en tous points confirmées par le classeur de pièces produit par le prévenu (cf. P. 21/7). Y figure un courrier sur papier à en-tête de [...] (« [...] »), daté du 16 février 2015 et signé par un administrateur de cette société, par lequel celui-ci remerciait le prévenu d’avoir choisi ladite société comme fournisseur de services offshore et lui transmettait 15 documents en relation avec la fondation le 29 janvier 2015 de la société [...] SA, sise aux Iles Vierges Britanniques, dont le certificat de fondation de cette société, ses statuts, la liste des actionnaires (avec leur participation), ainsi que plusieurs documents à signer par les membres de la direction, d’une part, et les actionnaires, d’autre part (dont les certificats d’action), tous estampillés. Ces documents n’ont pas été complétés et signés par les intéressés. Contrairement à l'avis du Procureur, les documents en cause ne sont pas de simples exemples, mais les documents originaux relatifs à la fondation d’une société enregistrée officiellement à [...], aux Iles Vierges Britanniques, dûment estampillés avec un sceau métallique. Pour être valable, la signature des directeurs et actionnaires devait être apposée sur les documents originaux annexés, notamment sur les 5 certificats d’actions pour un total de 50'000 actions à 1 USD l’action (no 1 pour B.________ : 24'900 actions ; no 2 : R.________ : 12'200 ; no 3 : P.________ : 4'300 ; no 4 : H.________ : 4'300 ; V.________ : 4'300). En outre, les pièces produites par le prévenu prouvent que ce dernier a reçu une facture d’honoraires et de débours de K.________Ltd, datée du 11 novembre 2014, pour tous les services en relation avec la création et l’enregistrement de la société offshore à créer, d’un montant total de 1'755 USD (P 21/5), et qu’il s’en est acquitté en francs suisses le 19 décembre 2014 (P. 21/6). Dans ces conditions, puisque les documents en cause ne sont pas falsifiés, mais au contraire authentiques, la commission des infractions</w:t>
      </w:r>
    </w:p>
    <w:p>
      <w:r>
        <w:t>- 14 - de faux dans les titres ou de faux dans les certificats peut être totalement exclue. Quant à l’opération proposée par le prévenu visant à créer une société offshore et à y associer une partie des associés gérants de F.________Sàrl, il n’y a aucun indice dans ce cadre d’une tromperie ni a fortiori d’une tromperie astucieuse. Il n’y a pas non plus d’indice que le prévenu n’aurait pas eu la volonté réelle de créer la société [...] SA, sise aux Iles Vierges Britanniques, puisqu’il a mandaté à cet effet K.________Ltd et qu’il s’est même acquitté d’un montant de 1'755 USD pour payer ses services. Le fait que des tiers lui aient versé un montant de 5'000 fr. avant la création de la société, à supposer même qu’il soit en relation avec la libération des apports de la société à créer – comme le prétendent les recourants –, ne suffit pas pour en déduire l’existence d’un dessein astucieux de la part du prévenu. Au vu de ce qui précède, l'infraction d'escroquerie ou de tentative d'escroquerie n'entre pas en ligne de compte. 3. 3.1 Les recourants reprochent au Ministère public d’avoir rejeté leur réquisitions de preuve à tort et en violation de leur droit d'être entendus. 3.2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w:t>
      </w:r>
    </w:p>
    <w:p>
      <w:r>
        <w:t>- 15 -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ATF 136 I 229 consid. 5.3; Bénédict/Treccani, in : Kuhn/Jeanneret (éd.), Commentaire romand, Code de procédure pénale suisse, Bâle 2011, n. 23 ad art. 139 CPP).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 Kuhn/Jeanneret (éd.), op. cit., n. 19 ad art. 318 CPP ; CREP 18 octobre 2017/716 consid. 2.2). Le droit d'être entendu est une garantie constitutionnelle de caractère formel, dont la violation doit entraîner l'annulation de la décision, indépendamment des chances de succès du recours sur le fond (ATF 135 I 187 consid. 2.2). Il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p. 88; ATF 133 III 439 consid. 3.3 p. 445). 3.3 Le Ministère public a rejeté la réquisition de preuve des recourants tendant à entendre quatre témoins pour établir que les personnes intéressées à la création de la société offshore avaient versé de l’argent au prévenu. Il a retenu que ces auditions ne pouvaient pas être décisives car le versement de montants n’était pas déterminant. Il a rejeté pour le même motif la réquisition tendant à ce que le prévenu soit réentendu, en précisant qu’elle avait manifestement un but civil.</w:t>
      </w:r>
    </w:p>
    <w:p>
      <w:r>
        <w:t>- 16 - Ce faisant, le Procureur a exposé d'une manière claire pourquoi il rejetait les moyens de preuve proposés par le recourant. Il n'y a donc pas de violation du droit d'être entendu. En outre, les éléments pertinents pour apprécier le sort du litige ayant été réunis, le Ministère public pouvait rejeter ces réquisitions. Enfin, pour les motifs précités (cf. consid. 2.4 et 2.5), seul le recourant P.________ aurait un intérêt théorique à faire administrer de nouvelles preuves ; mais, comme souligné plus haut (cf. consid. 2.5 in fine), le fait que le prévenu ait demandé en novembre 2014 aux associés gérants qui souhaitaient prendre des parts dans la future société offshore à constituer de lui verser des montants à cet effet et le fait que H.________ ( [...]) et V.________ ( [...]) se soient éventuellement exécutés (cf. P. 23/10 et 23/10bis) est indifférent ; en effet, il ressort suffisamment du dossier (cf. P. 21/7 et 23/6 à 10bis) que le prévenu avait informé les associés en question des démarches qu’il était en train d’exécuter en vue de la création de la société offshore, notamment en leur demandant de lui fournir des renseignements qui leur étaient personnels, et ceux-ci étaient libres de verser ou pas des montants à cet effet. Comme déjà relevé, il n’y a pas d’indice d’une tromperie, et encore moins d’une tromperie astucieuse. 4. En définitive, le recours, manifestement mal fondé, doit être rejeté dans la mesure où il est recevable, sans échange d’écritures (art. 390 al. 2 CPP), et l’ordonnance de classement rendue le 12 décembre 2017 par le Ministère public de l'arrondissement de Lausanne doit être confirmée. Les frais de la procédure de recours, constitués en l'espèce du seul émolument d’arrêt, par 1'650 fr. (art. 20 al. 1 TFIP [Tarif des frais de procédure et indemnités en matière pénale du 28 septembre 2010; RSV 312.03.1]), seront mis à la charge des recourants, qui succombent (art. 428 al. 1 CPP), à parts égales et solidairement entre eux (art. 418 al. 1 et 2 CPP).</w:t>
      </w:r>
    </w:p>
    <w:p>
      <w:r>
        <w:t>- 17 - Par ces motifs, la Chambre des recours pénale prononce : I. Le recours est rejeté dans la mesure où il est recevable. II. L'ordonnance du 12 décembre 2017 est confirmée. III. Les frais de la procédure de recours, par 1'650 fr. (mille six cent cinquante francs), sont mis à la charge de L.________ et P.________, à parts égales et solidairement entre eux. IV. L’arrêt est exécutoire. Le président : La greffière : Du Le présent arrêt, dont la rédaction a été approuvée à huis clos, est notifié, par l'envoi d'une copie complète, à : - Me Marc-Henri Fragnière, avocat (pour L.________ et P.________), - Me Jérôme Guex, avocat (pour B.________), - Ministère public central,</w:t>
      </w:r>
    </w:p>
    <w:p>
      <w:r>
        <w:t>- 18 -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