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PE15.025132 vom 21. Juni 2016</w:t>
      </w:r>
    </w:p>
    <w:p>
      <w:r>
        <w:t>VD Tribunal cantonal, 2016-06-21, FR</w:t>
      </w:r>
    </w:p>
    <w:p>
      <w:r>
        <w:rPr>
          <w:b/>
        </w:rPr>
        <w:t xml:space="preserve">Quelle: </w:t>
      </w:r>
      <w:r>
        <w:t>https://mcp.opencaselaw.ch/entscheid/vd_gerichte_PE15.025132</w:t>
      </w:r>
    </w:p>
    <w:p>
      <w:r>
        <w:t>FR: VD_GERICHTE PE15.025132 du 21 juin 2016</w:t>
      </w:r>
    </w:p>
    <w:p>
      <w:r>
        <w:t>IT: VD_GERICHTE PE15.025132 del 21 giugno 2016</w:t>
      </w:r>
    </w:p>
    <w:p>
      <w:pPr>
        <w:pStyle w:val="Heading2"/>
      </w:pPr>
      <w:r>
        <w:t>Erwägungen</w:t>
      </w:r>
    </w:p>
    <w:p>
      <w:r>
        <w:rPr>
          <w:b/>
        </w:rPr>
        <w:t>E. 5</w:t>
      </w:r>
    </w:p>
    <w:p>
      <w:r>
        <w:t>- 10 -</w:t>
      </w:r>
    </w:p>
    <w:p>
      <w:r>
        <w:rPr>
          <w:b/>
        </w:rPr>
        <w:t>E. 5.1</w:t>
      </w:r>
    </w:p>
    <w:p>
      <w:r>
        <w:t>Le recourant fait enfin grief au Procureur de ne pas avoir retenu l’infraction de faux témoignage.</w:t>
      </w:r>
    </w:p>
    <w:p>
      <w:r>
        <w:rPr>
          <w:b/>
        </w:rPr>
        <w:t>E. 5.2</w:t>
      </w:r>
    </w:p>
    <w:p>
      <w:r>
        <w:t>Selon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du Code pénal, Bâle 2012, n. 13 ad art. 306 CP et n. 16 ad art. 307 CP ; Corboz, op. cit., n. 41 ad art. 307 CP, et les références citées). Pour ce qui est de l’élément subjectif de l’infraction, l'auteur doit avoir agi intentionnellement, le dol éventuel étant</w:t>
      </w:r>
    </w:p>
    <w:p>
      <w:r>
        <w:t>- 11 -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 CREP 27 octobre 2011/470).</w:t>
      </w:r>
    </w:p>
    <w:p>
      <w:r>
        <w:rPr>
          <w:b/>
        </w:rPr>
        <w:t>E. 5.3</w:t>
      </w:r>
    </w:p>
    <w:p>
      <w:r>
        <w:t>En l’espèce, le courrier adressé en décembre 2012 à la Procureure dans lequel Z.________ a menti, ne constitue pas un faux témoignage, Z.________ ne revêtant pas la qualité de témoin au moment où il a adressé ce document au Procureur. S’agissant des différentes déclarations ultérieures de Z.________, on peut constater, avec le recourant, qu’il y a certaines divergences entre celles-ci ; il a ainsi omis, dans un premier temps, d’indiquer qu’il n’avait pas été le témoin direct des faits et qu’une partie de ceux-ci lui avait été rapportée par Q.________, (cf. jugement du Tribunal de police du 23 septembre 2015, p. 8). Cela n’a toutefois pas d’importance en l’espèce car comme on l’a vu plus haut, une information est fausse si elle ne correspond pas à la vérité objective (cf. consid. 4.2 supra). En l’occurrence, il est avéré que M.________ a saisi Q.________ au cou et que les deux protagonistes se sont retrouvés à terre. Z.________ ne s’est ainsi pas rendu coupable de faux témoignage et l’appréciation de la procureure sur ce point ne prête pas le flanc à la critique.</w:t>
      </w:r>
    </w:p>
    <w:p>
      <w:r>
        <w:rPr>
          <w:b/>
        </w:rPr>
        <w:t>E. 6</w:t>
      </w:r>
    </w:p>
    <w:p>
      <w:r>
        <w:t>En définitive, le recours, manifestement mal fondé, doit être rejeté et l’ordonnance de classement du 19 mai 2016 doit être confirmée. Les frais de la procédure de recours, constitués en l’espèce du seul émolument d'arrêt (art. 422 al. 1 CPP), par 1’210 fr. (art. 20 al. 1 TFIP [Tarif des frais de procédure et indemnités en matière pénale du 28 septembre 2010 ; RSV 312.03.1]), seront mis à la charge du recourant, qui succombe (art. 428 al. 1 CPP).</w:t>
      </w:r>
    </w:p>
    <w:p>
      <w:r>
        <w:t>- 12 - Par ces motifs, la Chambre des recours pénale prononce : I. Le recours est rejeté. II. L’ordonnance du 19 mai 2016 est confirmée. III. Les frais d’arrêt, par 1’210 fr. (mille deux cent dix francs), sont mis à la charge du recourant IV. L’arrêt est exécutoire. Le président : La greffière : Du Le présent arrêt, dont la rédaction a été approuvée à huis clos, est notifié, par l'envoi d'une copie complète, à : - Me Philippe Vladimir Boss, avocat (pour M.________),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