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PE15.024980 vom 14. November 2016</w:t>
      </w:r>
    </w:p>
    <w:p>
      <w:r>
        <w:t>VD Tribunal cantonal, 2016-11-14, FR</w:t>
      </w:r>
    </w:p>
    <w:p>
      <w:r>
        <w:rPr>
          <w:b/>
        </w:rPr>
        <w:t xml:space="preserve">Quelle: </w:t>
      </w:r>
      <w:r>
        <w:t>https://mcp.opencaselaw.ch/entscheid/vd_gerichte_PE15.024980</w:t>
      </w:r>
    </w:p>
    <w:p>
      <w:r>
        <w:t>FR: VD_GERICHTE PE15.024980 du 14 novembre 2016</w:t>
      </w:r>
    </w:p>
    <w:p>
      <w:r>
        <w:t>IT: VD_GERICHTE PE15.024980 del 14 novembre 2016</w:t>
      </w:r>
    </w:p>
    <w:p>
      <w:pPr>
        <w:pStyle w:val="Heading2"/>
      </w:pPr>
      <w:r>
        <w:t>Erwägungen</w:t>
      </w:r>
    </w:p>
    <w:p>
      <w:r>
        <w:rPr>
          <w:b/>
        </w:rPr>
        <w:t>E. 14</w:t>
      </w:r>
    </w:p>
    <w:p>
      <w:r>
        <w:t>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3.3 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d’attestation s’interprète comme étant une clause générale. Elle regroupe tous les autres documents qui sont objectivement susceptibles d’améliorer la situation d’une personne et qui attestent de ses capacités, de ses qualités ou de son comportement, comme par exemple l’attestation de domicile (Dupuis et al., Petit commentaire du Code pénal, Bâle 2012, n. 10 ad art. 252 CP et les références citées).</w:t>
      </w:r>
    </w:p>
    <w:p>
      <w:r>
        <w:t>- 13 -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et l’auteur doit en outre agir dans le dessein d’améliorer sa situation ou celle d’autrui. Ce dessein est réalisé, notamment lorsque l’auteur veut se faciliter la vie (ATF 111 IV 24 consid. 1b p. 26). Interprété de façon tellement large, il vise pratiquement toutes les situations, à moins que l’auteur n’ait agi sans but raisonnable ou pour nuire à autrui (TF 6B_619/2012 du 18 décembre 2012). 3.4 Objectivement, le document que l’appelante a produit auprès de la Commune de […] est une attestation au sens de l’art. 252 CP. L’appelante a contrefait l’attestation en question qui comporte la signature d’un tiers, qui n’a jamais signé un tel document. Sur le plan subjectif, l’intéressée a utilisé cette pièce pour justifier de sa résidence et tenté ainsi d’obtenir l’aide des services sociaux. C.________ a agi intentionnellement, même si elle a déclaré en première instance, par son défenseur, qu’elle n’avait pas eu l’intention de tromper autrui. A l’instar des premiers juges et pour les mêmes raisons (jugement attaqué, p. 13), on ne saurait croire que C.________ n’a pas saisi la portée de son acte. S’agissant du dessin d’améliorer sa situation, C.________ admet elle-même que les Services sociaux n’entrent en matière sur l’allocation de prestations sociales qu’en présence d’une attestation de résidence. Or la Commune de […] lui a refusé la délivrance de ce document pour le motif qu’elle n’était pas au bénéfice d’un certificat d’hébergement valable sur son territoire. C’est ainsi bien pour pouvoir compléter son dossier et, cas échéant, obtenir des prestations sociales que C.________ a établi le document litigieux. Par ce comportement, C.________ s’est rendue coupable de faux dans les certificats au sens de l’art. 252 CP.</w:t>
      </w:r>
    </w:p>
    <w:p>
      <w:r>
        <w:t>- 14 - 4. 4.1 L’appelante ne conteste pas formellement la peine pécuniaire de 10 jours-amende à 30 fr. le jour, avec sursis pendant deux ans et l’amende de 90 fr. qui lui ont été infligées par le premier juge. Il y a cependant lieu de statuer d'office sur ce point, dès lors qu’elle a conclu à son acquittement.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 5.3.3.3). En d’autres termes,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Ainsi, on doit, d'une part, se trouver en présence d'infractions minimes par rapport au résultat et à la culpabilité de l'auteur, et d'autre part, le comportement de l'auteur doit</w:t>
      </w:r>
    </w:p>
    <w:p>
      <w:r>
        <w:t>- 15 - apparaître négligeable par rapport à d'autres actes qui tombent sous le coup de la même disposition légale (Kuhn/Moreillon/Viredaz/Bichovsky, La nouvelle partie générale du Code pénal suisse, Berne 2006, p. 267). La culpabilité de l’auteur se détermine selon les règles générales de l’art. 47 CP (ATF 135 IV 130 c. 5.2.1), mais aussi selon d’autres critères, comme le principe de célérité ou d’autres motifs d’atténuation de la peine indépendants de la faute (tels que l’écoulement du temps depuis la commission de l’infraction, ATF 135 IV 130 c. 5.4). Lorsque la décision d’exemption de peine est prise dans le cadre d’un jugement, cette décision prend généralement la forme d’un verdict de culpabilité dépourvu de sanction (Dupuis et al. [éd.], Petit commentaire du Code pénal, 2e éd., Bâle 2017, n. 7 ad art. 52 CP). 4.3 En l’occurrence, F.________, vice-syndic de la Commune de […], a admis, lors de son audition devant la Cour de céans, que C.________ était régulièrement inscrite au contrôle des habitants de […] jusqu’à la décision de radiation du 13 décembre 2016, mais que la délivrance de toute attestation de résidence lui avait été refusée pour le motif qu’elle n’avait pas produit d’attestation d’hébergement. Cette façon d’agir est douteuse, puisque l’intéressée était alors toujours légalement inscrite auprès du contrôle des habitants. Ainsi, si l’établissement du faux certificat d’hébergement par C.________ est, comme on l’a vu, constitutif d’une infraction pénale, il apparaît que la culpabilité de l’appelante et les conséquences de son acte sont en définitive peu importantes, aucune prestation sociale ne lui ayant en définitive été versée, ce malgré son indigence. Elle pourra ainsi bénéficier de l’art. 52 CP dont elle remplit les conditions, étant au demeurant précisé que C.________ s’est présentée aux débats d’appel dans un état de faiblesse psychique perceptible. 5.</w:t>
      </w:r>
    </w:p>
    <w:p>
      <w:r>
        <w:t>- 16 - 5.1 L’appelante réclame des indemnités pour ses frais de défense en première instance et pour la procédure d’appel. 5.2 Aux termes de l’art. 429 al. 1 let. a CPP, le prévenu acquitté totalement ou en partie a droit à une indemnité pour les dépenses occasionnées par l'exercice raisonnable de ses droits de procédure.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 TF 6B_706/2014 du 28 août 2015). C.________ a été reconnue coupable de faux dans les certificats tant en première instance qu’en appel. Ainsi, bien qu’elle soit exemptée de toute peine, il ne saurait lui être accordé une indemnité du chef de l’art. 429 CPP pour les dépenses occasionnées par l’exercice de ses droits de procédure pour la première instance. Par ailleurs, s’agissant de la procédure d’appel, C.________ sollicite une indemnité de 500 fr., sans toutefois motiver cette requête. En particulier elle n’explique pas subir un dommage économique en raison de sa participation à la présente procédure, ce d’autant plus qu’elle est sans activité professionnelle et qu’elle a agi sans assistance. Dans ces conditions, on ne saurait lui accorder le montant sollicité. 6. En définitive, l’appel de C.________ doit être partiellement admis et le jugement entrepris réformé dans le sens des considérants qui précèdent. Vu l’issue de la cause, les frais d’appel, par 1’790 fr. (art. 21 al. 1 et 2 TFIP [Tarif des frais de procédure et indemnités en matière pénale du 28 septembre 2010; RSV 312.03.1]), seront mis à la charge de l’appelante à raison de la moitié, le solde demeurant à la charge de l’Etat (art. 428 al. 1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