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PE15.024400 vom 21. Dezember 2015</w:t>
      </w:r>
    </w:p>
    <w:p>
      <w:r>
        <w:t>VD Tribunal cantonal, 2015-12-21, FR</w:t>
      </w:r>
    </w:p>
    <w:p>
      <w:r>
        <w:rPr>
          <w:b/>
        </w:rPr>
        <w:t xml:space="preserve">Quelle: </w:t>
      </w:r>
      <w:r>
        <w:t>https://mcp.opencaselaw.ch/entscheid/vd_gerichte_PE15.024400</w:t>
      </w:r>
    </w:p>
    <w:p>
      <w:r>
        <w:t>FR: VD_GERICHTE PE15.024400 du 21 décembre 2015</w:t>
      </w:r>
    </w:p>
    <w:p>
      <w:r>
        <w:t>IT: VD_GERICHTE PE15.024400 del 21 dicembre 2015</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w:t>
      </w:r>
    </w:p>
    <w:p>
      <w:r>
        <w:t>- 3 - CPP (art. 393 al. 1 let. c CPP), par le détenu qui a qualité pour recourir (art. 222 et 382 al. 1 CPP) et dans les formes prescrites (art. 385 al. 1 CPP), le recours de J.________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Le recourant soutient en substance qu’il ne serait pas impliqué dans cette affaire et n’aurait ainsi pas pris part à l’altercation en cause, mais qu’il s’agirait d’un règlement de compte entre le plaignant et un tiers dénommé [...], au sujet d’un litige relatif à un trafic de stupéfiants.</w:t>
      </w:r>
    </w:p>
    <w:p>
      <w:r>
        <w:rPr>
          <w:b/>
        </w:rPr>
        <w:t>E. 2.2.1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w:t>
      </w:r>
    </w:p>
    <w:p>
      <w:r>
        <w:t>- 4 - pénale. Si des soupçons, même encore peu précis, peuvent être suffisants dans les premiers temps de l’enquête, la perspective d’une condamnation doit apparaître vraisemblable après l’accomplissement des actes d’instruction envisageables (ATF 137 IV 122 consid. 3.2 ; TF 1B_39/2014 du 11 février 2014 consid. 2.2).</w:t>
      </w:r>
    </w:p>
    <w:p>
      <w:r>
        <w:rPr>
          <w:b/>
        </w:rPr>
        <w:t>E. 2.2.2</w:t>
      </w:r>
    </w:p>
    <w:p>
      <w:r>
        <w:t>En l’espèce, en plus du plaignant, les témoins [...] et [...] ont mis en cause un certain « [...] », respectivement « [...] », soit une personne dont le nom correspond à celui du recourant, pour avoir eu une altercation violente avec la victime B.________ (PV aud. 1 et 2). En outre, les policiers ayant procédé à l’arrestation du recourant ont constaté de probables traces de sang sur certains vêtements et objets retrouvés en sa possession, à savoir une paire de chaussures, un polo, un couteau et un poinçon (P. 4, p. 4). Compte tenu de ces éléments, il existe, à ce stade de l’instruction, des indices suffisamment sérieux de culpabilité à l’encontre de J.________ pour justifier sa mise en détention provisoire. Pour le surplus, s’agissant d’une agression au couteau qui aurait occasionné à tout le moins une blessure ayant nécessité huit points de suture, les faits doivent être considérés comme graves.</w:t>
      </w:r>
    </w:p>
    <w:p>
      <w:r>
        <w:rPr>
          <w:b/>
        </w:rPr>
        <w:t>E. 2.3</w:t>
      </w:r>
    </w:p>
    <w:p>
      <w:r>
        <w:t>; ATF 133 I 270 consid. 2.2 et les arrêts cités, JdT 2011 IV 3 ; TF</w:t>
      </w:r>
    </w:p>
    <w:p>
      <w:r>
        <w:t>- 6 - 1B_39/2013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 TF 1B_39/2013 précité).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En l’espèce, comme l’a relevé le Tribunal des mesures de contrainte, J.________ a été condamné à douze reprises lors des dix dernières années, et ce pour un grand nombre d’infractions devant pour la plupart être considérées comme graves, en particulier pour des infractions contre l’intégrité physique telles que la rixe, les lésions corporelles simples qualifiées ou encore les violences ou menaces contre les autorités et les fonctionnaires. Les peines privatives de liberté qui ont été prononcées à son encontre lors de toutes ses condamnations ne l’ont pas empêché de poursuivre son activité délictueuse et démontre ainsi son mépris pour les décisions de justice. Le risque de réitération est manifeste et justifie également sa mise en détention provisoire.</w:t>
      </w:r>
    </w:p>
    <w:p>
      <w:r>
        <w:rPr>
          <w:b/>
        </w:rPr>
        <w:t>E. 3</w:t>
      </w:r>
    </w:p>
    <w:p>
      <w:r>
        <w:t>Le Tribunal des mesures de contrainte a retenu l’existence des risques de fuite, de collusion et de réitération pour justifier la mise en détention provisoire de J.________. Ce dernier conteste l’existence du risque de fuite, au motif qu’il ne souhaiterait pas quitter sa famille.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 TF 1B_145/2012 du 19 avril 2012 consid. 3.1 non publié aux ATF 138 IV 81).</w:t>
      </w:r>
    </w:p>
    <w:p>
      <w:r>
        <w:t>- 5 - A l’instar du Tribunal des mesures de contrainte, la Cour de céans considère que le risque de fuite que présente J.________ est concret, dès lors qu’il s’agit d’un requérant d’asile qui ne paraît pas avoir de domicile fixe. Il est en outre connu sous plusieurs fausses identités. Il est dès lors fortement à craindre qu’en cas de libération, il disparaisse dans la clandestinité en vue de se soustraire à la procédure pénale en cours et à la sanction prévisible encourue.</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En l’espèce, des contrôles sont en cours sur le couteau, le poinçon et le téléphone portable qui ont été retrouvés sur le recourant lors de son interpellation. En outre, d’éventuels témoins doivent encore être identifiés et localisés en vue d’être auditionnés, en particulier le dénommé [...] dont le prévenu fait mention. Ces mesures d’instruction et ainsi la recherche de la vérité seraient compromises en cas de libération du recourant. Partant, le risque de collusion est patent et justifie sa mise en détention provisoire.</w:t>
      </w:r>
    </w:p>
    <w:p>
      <w:r>
        <w:rPr>
          <w:b/>
        </w:rPr>
        <w:t>E. 3.3</w:t>
      </w:r>
    </w:p>
    <w:p>
      <w:r>
        <w:t>Pour retenir un risque de récidive, le pronostic doit être très défavorable et les délits dont la réitération est redoutée doivent être graves (ATF 137 IV 84 consid. 4.5, JdT 2011 IV 325 ; ATF 135 I 71 consid.</w:t>
      </w:r>
    </w:p>
    <w:p>
      <w:r>
        <w:rPr>
          <w:b/>
        </w:rPr>
        <w:t>E. 3.4</w:t>
      </w:r>
    </w:p>
    <w:p>
      <w:r>
        <w:t>Pour le surplus, aucune mesure de substitution n’est propre à prévenir les risques retenus. Le recourant n’en propose du reste aucune à l’appui de son recours.</w:t>
      </w:r>
    </w:p>
    <w:p>
      <w:r>
        <w:rPr>
          <w:b/>
        </w:rPr>
        <w:t>E. 4</w:t>
      </w:r>
    </w:p>
    <w:p>
      <w:r>
        <w:t>J.________ est détenu depuis le 6 décembre 2015, soit depuis près d’une vingtaine de jours. Compte tenu de ses antécédents et de la gravité des faits qui lui sont reprochés, la détention provisoire demeure parfaitement proportionnée au regard de la peine qui est susceptible</w:t>
      </w:r>
    </w:p>
    <w:p>
      <w:r>
        <w:t>- 7 - d’être prononcée à son encontre en cas de condamnation (art. 212 al. 3 CPP).</w:t>
      </w:r>
    </w:p>
    <w:p>
      <w:r>
        <w:rPr>
          <w:b/>
        </w:rPr>
        <w:t>E. 5</w:t>
      </w:r>
    </w:p>
    <w:p>
      <w:r>
        <w:t>Il résulte de ce qui précède que le recours, manifestement mal fondé, doit être rejeté sans autre échanges d’écritures (art. 390 al. 2 CPP) et l’ordonnance du 9 décembre 2015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9 décembre 2015 est confirmée. III. Les frais d’arrêt, par 770 fr. (sept cent septante francs), sont mis à la charge de J.________. IV. Le présent arrêt est exécutoire. Le président : Le greffier : Du Le présent arrêt, dont la rédaction a été approuvée à huis clos, est notifié, par l'envoi d'une copie complète, à : - Me David Abziker, avocat (pour J.________),</w:t>
      </w:r>
    </w:p>
    <w:p>
      <w:r>
        <w:t>- 8 - - Ministère public central, et communiqué à : - Mme la Présidente du Tribunal des mesures de contrainte, - M. le Procureur de l’arrondissement de la Côte, - M.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