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PE15.024366 vom 19. Dezember 2016</w:t>
      </w:r>
    </w:p>
    <w:p>
      <w:r>
        <w:t>VD Tribunal cantonal, 2016-12-19, FR</w:t>
      </w:r>
    </w:p>
    <w:p>
      <w:r>
        <w:rPr>
          <w:b/>
        </w:rPr>
        <w:t xml:space="preserve">Quelle: </w:t>
      </w:r>
      <w:r>
        <w:t>https://mcp.opencaselaw.ch/entscheid/vd_gerichte_PE15.024366</w:t>
      </w:r>
    </w:p>
    <w:p>
      <w:r>
        <w:t>FR: VD_GERICHTE PE15.024366 du 19 décembre 2016</w:t>
      </w:r>
    </w:p>
    <w:p>
      <w:r>
        <w:t>IT: VD_GERICHTE PE15.024366 del 19 dicembre 2016</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la partie plaignante qui a qualité pour recourir (art. 382 al. 1 CPP), le recours est recevable.</w:t>
      </w:r>
    </w:p>
    <w:p>
      <w:r>
        <w:rPr>
          <w:b/>
        </w:rPr>
        <w:t>E. 2.1</w:t>
      </w:r>
    </w:p>
    <w:p>
      <w:r>
        <w:t>Aux termes de l'art. 310 al. 1 let. CPP, une ordonnance de non- 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w:t>
      </w:r>
    </w:p>
    <w:p>
      <w:r>
        <w:t>- 4 - 1B_111/2012 du 5 avril 2012 consid. 2.1 ; TF 1B_67/2012 du 29 mai 2012 consid. 2.2).</w:t>
      </w:r>
    </w:p>
    <w:p>
      <w:r>
        <w:rPr>
          <w:b/>
        </w:rPr>
        <w:t>E. 2.2</w:t>
      </w:r>
    </w:p>
    <w:p>
      <w:r>
        <w:t>En l’espèce, le recourant soutient qu’il n’était pas possible de rendre une ordonnance de non-entrée en matière, compte tenu du temps écoulé entre celle-ci et sa première plainte, soit près d’une année. Ce grief est mal fondé, un tel délai ne faisant pas en soi obstacle au prononcé d’une telle décision, aucune décision formelle d’ouverture d’instruction (art. 309 CPP) n’ayant été prise par le Ministère public (TF 1B_111/2012 du</w:t>
      </w:r>
    </w:p>
    <w:p>
      <w:r>
        <w:rPr>
          <w:b/>
        </w:rPr>
        <w:t>E. 2.3</w:t>
      </w:r>
    </w:p>
    <w:p>
      <w:r>
        <w:t>Le recourant fait également valoir que l’ordonnance attaquée ne se fonderait sur aucun des motifs énoncés exhaustivement par l’art. 310 al. 1 CPP, en particulier sur le fait que les éléments constitutifs des infractions dénoncées ne seraient manifestement pas réalisés. Il est vrai que le procureur, qui a jugé que les écritures litigieuses ne pouvaient pas être prises en considération, car elles n’avaient pas été corrigées dans le délai imparti, n’a justifié sa décision de non-entrée en matière par aucun des motifs prévus par l’art. 310 al. 1 CPP. Il est douteux que la prolixité puisse être assimilée à un empêchement de procéder au sens de l’art. 310 al. 1 let. b CPP, la doctrine citant à cet égard l’incompétence à raison du lieu ou de la matière, l’absence de plainte pénale en cas d’infractions poursuivies sur plainte uniquement, l’immunité absolue, le décès de la personne concernée, la prescription de l’action publique ou le principe ne bis in idem (Moreillon/Parein-Reymond, Petit Commentaire CPP, 2e éd. Bâle 2016, n. 13 ad art. 310 CPP, p. 1032). On peut dès lors se demander si, au lieu d’une ordonnance de non-entrée en matière, le Ministère public n’aurait pas dû rendre une ordonnance sui generis pour refuser de prendre en considération des actes jugés prolixes. La question peut toutefois être laissée indécise, car si le Ministère public avait rendu une telle ordonnance, celle-ci aurait de toute manière été susceptible de recours (Lieber, in : Donatsch/Hansjakob/Lieber [éd.], Kommentar zur Schweizerischen Strafprozessordnung, 2e éd., Zurich, Bâle, Genève 2014,</w:t>
      </w:r>
    </w:p>
    <w:p>
      <w:r>
        <w:t>- 5 - n. 15 ad art. 110 CPP, p. 517). De plus, qu’il s’agisse d’une ordonnance de non-entrée en matière ou d’une ordonnance sui generis, le point litigieux, quant au fond, porte dans tous les cas sur la correcte application de l’art. 110 al. 4 CPP par la direction de la procédure. 3. 3.1 L’art. 110 al. 4 CPP, applicable à la plainte pénale (art. 119 al. 1 CPP), dont la forme est libre (Moreillon/Parein-Reymond, Petit Commentaire CPP, 2e éd., Bâle 2016, n. 2 art. 119 CPP, p. 386 ; Lieber, in : Danatsch/Hansjakob/Lieber [éd.], op. cit., n. 1 ad art. 119 CPP, p. 574), dispose que la direction de la procédure peut retourner à l’expéditeur une requête illisible, incompréhensible, inconvenante ou prolixe, en lui impartissant un délai pour la corriger et en l’avertissant qu’à défaut, la requête ne sera pas prise en considération (cf. Bendani, in : Kuhn/Jeanneret [éd], Code de procédure pénale, Commentaire Romand, Bâle 2011, n. 17 ad art. 110 CPP). Selon la jurisprudence, le juge qui refuse d’entrer en matière sur une écriture outrancière à l’égard d’une partie ou d’un tiers ne commet pas un déni de justice formel, s’il le fait après vainement donné l’occasion à l’auteur de cette écriture de la corriger (TF 6B_933/2016 du 22 juin 2016 consid. 3.1, et les arrêts cités). Il n’y a pas de raison qu’il en aille différemment d’une écriture jugée prolixe. 3.2 En l’espèce, vu l’ampleur des plaintes pénales des 3 décembre 2015, 18 juin 2016 et 25 août 2016, rédigées avec d’innombrables détails les rendant confuses, et accompagnées de volumineux bordereaux de pièces, il était extrêmement difficile de saisir avec précision les actes que le recourant reprochait aux personnes dénoncées. Le Ministère public a indiqué au recourant dans quel sens il devait corriger ses actes en lui communiquant un certains nombres de critères à respecter. Malgré cela, le recourant a produit le 21 novembre 2016 un nouveau mémoire de 62 pages qui, comme le relève le Ministère public, est incompréhensible. En effet, sa structure, en effet, est complexe, puisqu’elle comporte un système de numérotation allant jusqu’à quatre décimales (cf. P. 23, p. 37, points 19.1.2.3.3 et suivants). Le</w:t>
      </w:r>
    </w:p>
    <w:p>
      <w:r>
        <w:t>- 6 - recourant n’a pas non plus exposé les faits dans l’ordre chronologique ; certains d’entre eux concernent des tiers tandis que d’autres, anciens, paraissent prescrits (P. 23, p. 43 points 19.2.2.3.4 et 19.2.2.3.6 ss). Dans ces circonstances, c’est à juste titre que le procureur a constaté qu’il était impossible de cerner les faits que le recourant reproche précisément à F.________, B.________ et E.________. Enfin, c’est à tort que le recourant reproche au procureur de pas lui avoir accordé le temps nécessaire pour lui permettre de corriger ses écritures. Il disposait en effet, pour ce faire, d’un délai d’un peu plus de deux mois, ce qui paraît suffisant. Quant aux exigences formulées par le procureur le 16 septembre 2016, elles n’avaient rien d’exorbitant, vu la teneur des actes que le recourant avait produits. On pouvait attendre de ce dernier, lui-même avocat, qu’il expose plus simplement, avec clarté et précision, les faits non prescrits que les personnes dénoncées auraient commis à son détriment, même si ces faits présentent une relative complexité. Or le recourant ne l’a pas fait. En définitive, le Ministère public n’a pas violé l’art. 110 al. 4 CPP en refusant de prendre en considération les différentes écritures du recourant en raison de leur caractère prolixe. 4. Il résulte de ce qui précède que le recours, manifestement mal fondé, doit être rejeté sans autre échange d’écritures (art. 390 al. 2 CPP) et l’ordonnance du 25 novembre 2016 confirmée. Vu le sort du recours, il n’y a pas lieu d’allouer à C.________ une indemnité pour la procédure de recours.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w:t>
      </w:r>
    </w:p>
    <w:p>
      <w:r>
        <w:t>- 7 - Par ces motifs, la Chambre des recours pénale prononce : I. Le recours est rejeté. II. L’ordonnance du 25 novembre 2016 est confirmée. III. Les frais d’arrêt, par 660 fr. (six cent soixante francs), sont mis à la charge de C.________. IV. L’arrêt est exécutoire. Le président : Le greffier : Du Le présent arrêt, dont la rédaction a été approuvée à huis clos, est notifié, par l'envoi d'une copie complète, à : - M. C.________, - Ministère public central, et communiqué à : - M. le Procureur du Ministère public central, division criminalité économique,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avril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