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PE15.024086 vom 18. Februar 2021</w:t>
      </w:r>
    </w:p>
    <w:p>
      <w:r>
        <w:t>VD Tribunal cantonal, 2021-02-18, FR</w:t>
      </w:r>
    </w:p>
    <w:p>
      <w:r>
        <w:rPr>
          <w:b/>
        </w:rPr>
        <w:t xml:space="preserve">Quelle: </w:t>
      </w:r>
      <w:r>
        <w:t>https://mcp.opencaselaw.ch/entscheid/vd_gerichte_PE15.024086</w:t>
      </w:r>
    </w:p>
    <w:p>
      <w:r>
        <w:t>FR: VD_GERICHTE PE15.024086 du 18 février 2021</w:t>
      </w:r>
    </w:p>
    <w:p>
      <w:r>
        <w:t>IT: VD_GERICHTE PE15.024086 del 18 febbraio 2021</w:t>
      </w:r>
    </w:p>
    <w:p>
      <w:pPr>
        <w:pStyle w:val="Heading2"/>
      </w:pPr>
      <w:r>
        <w:t>Erwägungen</w:t>
      </w:r>
    </w:p>
    <w:p>
      <w:r>
        <w:rPr>
          <w:b/>
        </w:rPr>
        <w:t>E. 1.1</w:t>
      </w:r>
    </w:p>
    <w:p>
      <w:r>
        <w:t>Les parties peuvent attaquer une ordonnance de jonction de procédures pénales rendue par le Ministère public en application de l’art. 30 CPP (Code de procédure pénale suisse du 5 octobre 2007 ; RS 312.0 ; Stephenson/Thiriet, in Niggli/Heer/Wiprächtiger [édit.], Basler Kommentar, Schweizerische Strafprozessordnung, Jugendstrafprozessordnung, 2e éd., Bâle 2014, n. 10 ad art. 393 CPP)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motivé (art. 390 al. 1 et 396 al. 1 CPP). L'art. 385 al. 1 CPP énonce que si le code exige que le recours soit motivé, la personne ou l'autorité qui recourt doit indiquer précisément, les points de la décision qu'elle attaque (let. a), les motifs qui</w:t>
      </w:r>
    </w:p>
    <w:p>
      <w:r>
        <w:t>- 3 - commandent une autre décision (let. b) et les moyens de preuve qu'elle invoque (let. c). Les motifs au sens de l'art. 385 al. 1 let. b CPP doivent être étayés par le recourant sous l'angle des faits et du droit (TF 6B_510/2020 du 15 septembre 2020 consid. 2.2 ; TF 1B_472/2019 du 29 octobre 2019 consid. 3.1 ; TF 6B_120/2016 du 20 juin 2016 consid. 3.1 ; cf. CREP 4 janvier 2021/4 consid. 4.3). Selon l'art. 385 al. 2 CPP, si le mémoire ne satisfait pas à ces exigences, l'autorité de recours le renvoie au recourant afin que ce dernier le complète dans un bref délai. Si, après l'expiration de ce délai supplémentaire, le mémoire ne satisfait toujours pas à ces exigences, l'autorité de recours n'entre pas en matière. Cette disposition ne permet pas de remédier un défaut de motivation dans le mémoire en question (TF 6B_705/2019 du 5 septembre 2019 consid. 3.2.2). Elle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(TF 6B_510/2020, déjà cité, consid. 2.2 ; TF 1B_232/2017 du 19 juillet 2017 consid. 2.4.3 ; TF 1B_113/2017 du 19 juin 2017 consid. 2.4.3).</w:t>
      </w:r>
    </w:p>
    <w:p>
      <w:r>
        <w:rPr>
          <w:b/>
        </w:rPr>
        <w:t>E. 1.3</w:t>
      </w:r>
    </w:p>
    <w:p>
      <w:r>
        <w:t>En l’espèce, le recours a été adressé en temps utile à l’autorité compétente par le prévenu, qui a qualité pour recourir (art. 382 al. 1 CPP), de sorte qu’il est recevable à cet égard. Le recourant se borne toutefois à indiquer sa volonté d’utiliser son droit de recours, mais il ne précise pas quel point de l’ordonnance de jonction de causes serait contesté et quelle teneur devrait avoir une éventuelle nouvelle décision. Il n’expose pas davantage le motif de fait ou de droit pour lequel une telle modification s’imposerait. Partant, le recours ne satisfait pas aux exigences de motivation posées par l’art. 385 al. 1 CPP. Il doit être d’emblée déclaré irrecevable, le défaut de motivation n’étant pas réparable selon l'art. 385 al. 2 CPP.</w:t>
      </w:r>
    </w:p>
    <w:p>
      <w:r>
        <w:t>- 4 -</w:t>
      </w:r>
    </w:p>
    <w:p>
      <w:r>
        <w:rPr>
          <w:b/>
        </w:rPr>
        <w:t>E. 2</w:t>
      </w:r>
    </w:p>
    <w:p>
      <w:r>
        <w:t>Au vu de ce qui précède, le recours d’A.________ doit être déclaré irrecevable, sans échange d’écritures (art. 390 al. 2 CPP). Les frais de la procédure de recours, constitués en l’espèce du seul émolument d’arrêt (art. 422 al. 1 CPP), par 440 fr. (art. 20 al. 1 TFIP [tarif des frais de procédure et indemnités en matière pénale du 28 septembre 2010 ; BLV 312.03.1]), seront exceptionnellement laissés à la charge de l’Etat (art. 423 al. 1 CPP).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A.________, - Ministère public central, et communiqué à : - Mme la Procureure de l’arrondissement de Lausanne,</w:t>
      </w:r>
    </w:p>
    <w:p>
      <w:r>
        <w:t>- 5 -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