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PE15.023794 vom 16. Dezember 2015</w:t>
      </w:r>
    </w:p>
    <w:p>
      <w:r>
        <w:t>VD Tribunal cantonal, 2015-12-16, FR</w:t>
      </w:r>
    </w:p>
    <w:p>
      <w:r>
        <w:rPr>
          <w:b/>
        </w:rPr>
        <w:t xml:space="preserve">Quelle: </w:t>
      </w:r>
      <w:r>
        <w:t>https://mcp.opencaselaw.ch/entscheid/vd_gerichte_PE15.023794</w:t>
      </w:r>
    </w:p>
    <w:p>
      <w:r>
        <w:t>FR: VD_GERICHTE PE15.023794 du 16 décembre 2015</w:t>
      </w:r>
    </w:p>
    <w:p>
      <w:r>
        <w:t>IT: VD_GERICHTE PE15.023794 del 16 dicembre 2015</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notamment attaquer devant l’autorité de recours les décisions ordonnant une mise en</w:t>
      </w:r>
    </w:p>
    <w:p>
      <w:r>
        <w:t>- 4 - détention provisoire (CREP 7 août 2015/521 ; CREP 5 août 2015/523 ; CREP 1er juillet 2015/448).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w:t>
      </w:r>
    </w:p>
    <w:p>
      <w:r>
        <w:rPr>
          <w:b/>
        </w:rPr>
        <w:t>E. 1.2</w:t>
      </w:r>
    </w:p>
    <w:p>
      <w:r>
        <w:t>En l’espèce, le recours a été interjeté en temps utile devant l’autorité compétente par le détenu, qui a qualité pour recourir (cf. art. 382 al. 1 CPP), et dans les formes prescrites (cf.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w:t>
      </w:r>
    </w:p>
    <w:p>
      <w:r>
        <w:rPr>
          <w:b/>
        </w:rPr>
        <w:t>E. 2.2</w:t>
      </w:r>
    </w:p>
    <w:p>
      <w:r>
        <w:t>La mise en détention provisoire n’est possible que s’il existe, préalablement à toute autre cause, de graves soupçons de culpabilité d’avoir commis un crime ou un délit à l’égard de l’auteur présumé (ATF 139 IV 186 consid. 2; Schmocker, in : Kuhn/Jeanneret [éd.], Commentaire romand, Code de procédure pénale suisse, Bâle 2011, nn. 7 ss ad art. 221 CPP, pp. 1024 ss). En l'espèce, le recourant ne conteste à juste titre pas l’existence de présomptions de culpabilité suffisantes.</w:t>
      </w:r>
    </w:p>
    <w:p>
      <w:r>
        <w:rPr>
          <w:b/>
        </w:rPr>
        <w:t>E. 2.3</w:t>
      </w:r>
    </w:p>
    <w:p>
      <w:r>
        <w:t>- 5 -</w:t>
      </w:r>
    </w:p>
    <w:p>
      <w:r>
        <w:rPr>
          <w:b/>
        </w:rPr>
        <w:t>E. 2.3.1</w:t>
      </w:r>
    </w:p>
    <w:p>
      <w:r>
        <w:t>Le recourant conteste l’existence du risque de réitération retenu par le Tribunal des mesures de contrainte. Il soutient en particulier que son état d’alcoolisation au moment des faits et le contexte conjugal, respectivement la nature « brusque » des relations sexuelles entretenues régulièrement avec sa compagne, ne permettraient pas de lui attribuer un profil qui soit inquiétant, eu égard uniquement aux faits reprochés, au point de justifier une mise en détention provisoire malgré l’absence d’antécédents. En outre, il n’y aurait aucun indice quant à sa prétendue dangerosité.</w:t>
      </w:r>
    </w:p>
    <w:p>
      <w:r>
        <w:rPr>
          <w:b/>
        </w:rPr>
        <w:t>E. 2.3.2</w:t>
      </w:r>
    </w:p>
    <w:p>
      <w:r>
        <w:t>Le maintien en détention ne peut se justifier en raison d’un risque de réitération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(ATF 137 IV 13 consid. 4.5 ; TF 1B_731/2011 du 16 janvier 2012 consid. 3.1).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jurisprudence se montre moins sévère dans l'exigence de la vraisemblance lorsqu'il s'agit de délits de violence graves, car le risque à faire courir aux victimes potentielles est alors considéré comme trop important ; en pareil cas, il convient de tenir compte de l'état</w:t>
      </w:r>
    </w:p>
    <w:p>
      <w:r>
        <w:t>- 6 - psychique du prévenu, de son imprévisibilité et de son agressivité (ATF 123 I 268 consid. 2e).</w:t>
      </w:r>
    </w:p>
    <w:p>
      <w:r>
        <w:rPr>
          <w:b/>
        </w:rPr>
        <w:t>E. 2.3.3</w:t>
      </w:r>
    </w:p>
    <w:p>
      <w:r>
        <w:t>En l’espèce, s’il est vrai que le recourant n’a pas d’antécédents et que le couple avait parfois des comportements sexuels particuliers, les agissements de l’intéressé ont été d’une extrême violence, à savoir étranglement jusqu’à l’évanouissement, sodomie et pénétration vaginale avec violences diverses, le tout malgré l’opposition claire de la victime. Particulièrement inquiétant est le fait que le recourant minimise ses agissements. Il invoque en effet les pratiques sexuelles courantes du couple qu’il qualifie de jeux, ainsi que son état d’alcoolisation, pour tenter de justifier le recours à des actes d’ordre sexuel violents non consentis ainsi que la mise en danger de la vie de sa compagne. Au vu de la gravité des faits et en particulier de la violence dont a fait preuve le recourant, ainsi que de sa tendance à minimiser la gravité de son comportement, le risque qu’il réitère ses actes violents est concret. Dans ces circonstances, c’est à bon droit que le Tribunal des mesures de contrainte a retenu l’existence d’un risque de récidive.</w:t>
      </w:r>
    </w:p>
    <w:p>
      <w:r>
        <w:rPr>
          <w:b/>
        </w:rPr>
        <w:t>E. 2.3.4</w:t>
      </w:r>
    </w:p>
    <w:p>
      <w:r>
        <w:t>Les risques fondant la détention provisoire étant des motifs alternatifs, la question de l’existence d’un éventuel risque de collusion peut demeurer indécise, dès lors que la détention est justifiée par le risque de réitération.</w:t>
      </w:r>
    </w:p>
    <w:p>
      <w:r>
        <w:rPr>
          <w:b/>
        </w:rPr>
        <w:t>E. 3.1</w:t>
      </w:r>
    </w:p>
    <w:p>
      <w:r>
        <w:t>Le risque de récidive réalisé en l’espèce ne suffit toutefois pas à justifier le refus de la libération provisoire du prévenu s’il s’avère que, sous l’angle de la proportionnalité (art. 212 al. 2 let. c CPP), des mesures de substitution sont propres à pallier un tel risque.</w:t>
      </w:r>
    </w:p>
    <w:p>
      <w:r>
        <w:rPr>
          <w:b/>
        </w:rPr>
        <w:t>E. 3.2</w:t>
      </w:r>
    </w:p>
    <w:p>
      <w:r>
        <w:t>L’art. 237 al. 1 CPP dispose que le tribunal compétent ordonne une ou plusieurs mesures moins sévères en lieu et place de la détention provisoire ou de la détention pour des motifs de sûreté si ces mesures permettent d'atteindre le même but que la détention. Parmi ces mesures,</w:t>
      </w:r>
    </w:p>
    <w:p>
      <w:r>
        <w:t>- 7 - l’art. 237 al. 2 CPP – qui dresse une liste exemplative et non exhaustive des mesures possibles (Moreillon/Parein-Reymond, Petit commentaire, Code de procédure pénale, Bâle 2013, n. 12 ad art. 237 CPP) – mentionne notamment l’assignation à résidence ou l’interdiction de se rendre dans un certain lieu ou un certain immeuble (let. c) ou l’obligation de se soumettre à un traitement médical ou à des contrôles (let. f).</w:t>
      </w:r>
    </w:p>
    <w:p>
      <w:r>
        <w:rPr>
          <w:b/>
        </w:rPr>
        <w:t>E. 3.3</w:t>
      </w:r>
    </w:p>
    <w:p>
      <w:r>
        <w:t>En l’espèce, il résulte de l’audition de [...], ami du recourant, que durant la soirée qui a précédé la survenance des faits litigieux, le recourant avait consommé plusieurs chopes de bière, des shots de Jaegermeister mélangé à du Red Bull, ainsi qu’un pichet de bière de 1,5 litres (cf. PV audition du 10 décembre 2015, p. 3, R. 6). Au vu de ce qu’a consommé le recourant durant cette soirée, on le voit mal respecter une interdiction de boire de l’alcool. Quant à l’interdiction de périmètre, au vu de la relation malsaine entretenue par le couple et du fait que la victime a déclaré aimer encore le recourant (PV aud. du 29 novembre 2015, p. 6, R. 4), le risque que celui-ci retourne vivre avec sa compagne et réitère ses agissements est élevé. Enfin, il y a lieu de relever que la mise en œuvre d’une expertise psychiatrique du recourant a été ordonnée par le Ministère public. Au vu de la gravité des faits reprochés à l’intéressé, il n’est pas contraire à la jurisprudence d’attendre au moins l’avis de l’expert (TF 1B_232/2014 du 14 juillet 2014 consid. 3.3 et les arrêts cités). En l’état, on ne saurait par conséquent retenir que l’instauration de mesures de substitution sous la forme d’une stricte interdiction de boire de l’alcool et d’une interdiction de périmètre seraient propres à pallier le risque de réitération.</w:t>
      </w:r>
    </w:p>
    <w:p>
      <w:r>
        <w:rPr>
          <w:b/>
        </w:rPr>
        <w:t>E. 4</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w:t>
      </w:r>
    </w:p>
    <w:p>
      <w:r>
        <w:t>- 8 -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En l’espèce, le recourant est détenu depuis le 29 novembre 2015, soit depuis deux semaines et demie. Compte tenu de la gravité des infractions qui lui sont reprochées, le recourant s'expose à une peine d’une durée supérieure à celle de la détention provisoire subie à ce jour. Le principe de la proportionnalité demeure donc respecté.</w:t>
      </w:r>
    </w:p>
    <w:p>
      <w:r>
        <w:rPr>
          <w:b/>
        </w:rPr>
        <w:t>E. 5</w:t>
      </w:r>
    </w:p>
    <w:p>
      <w:r>
        <w:t>Il convient enfin d’examiner la conclusion tendant à la constatation de l’illicéité de la détention du recourant en cellule de l’Hôtel de police de Lausanne et du Centre de gendarmerie de la Blécherette.</w:t>
      </w:r>
    </w:p>
    <w:p>
      <w:r>
        <w:rPr>
          <w:b/>
        </w:rPr>
        <w:t>E. 5.1</w:t>
      </w:r>
    </w:p>
    <w:p>
      <w:r>
        <w:t>Lorsqu'une irrégularité constitutive d'une violation d'une garantie constitutionnelle a entaché la procédure relative à la détention provisoire, celle-ci doit en principe être réparée par une décision de constatation. Il doit en aller de même lorsque le prévenu estime avoir subi, du fait de la mise en détention provisoire, un traitement prohibé. Dans un tel cas, l'intéressé dispose d'un droit propre à ce que les agissements dénoncés fassent l'objet d'une enquête prompte et impartiale (ATF 139 IV 41 consid. 3.1 et les arrêts cités). La juridiction investie du contrôle de la détention est le Tribunal des mesures de contrainte, auquel il appartient d'intervenir en cas d'allégations crédibles de traitement prohibé (JdT 2013 III 86). Il s’ensuit qu’une conclusion tendant à la constatation de l’illicéité des conditions de détention doit être formulée devant le Tribunal des mesures de contrainte dans le cadre de la procédure ayant pour objet la détention provisoire ou, le cas échéant, dans le cadre d’une procédure distincte (CREP 25 novembre 2015/764).</w:t>
      </w:r>
    </w:p>
    <w:p>
      <w:r>
        <w:t>- 9 -</w:t>
      </w:r>
    </w:p>
    <w:p>
      <w:r>
        <w:rPr>
          <w:b/>
        </w:rPr>
        <w:t>E. 5.2</w:t>
      </w:r>
    </w:p>
    <w:p>
      <w:r>
        <w:t>En l’espèce, l’ordonnance attaquée ne statue pas sur l’illicéité des conditions de détention du recourant, faute pour celui-ci d’avoir formulé une conclusion en ce sens. Or l’objet du recours doit en principe avoir été soumis à l’autorité de première instance avant que la Cour de céans ne se prononce (CREP 25 novembre 2015/764). Partant, la conclusion en constatation prise par le recourant est irrecevable. Elle sera toutefois transmise au Tribunal des mesures de contrainte comme objet de sa compétence, en application de l’art. 91 al. 4 CPP.</w:t>
      </w:r>
    </w:p>
    <w:p>
      <w:r>
        <w:rPr>
          <w:b/>
        </w:rPr>
        <w:t>E. 6</w:t>
      </w:r>
    </w:p>
    <w:p>
      <w:r>
        <w:t>En définitive, le recours, manifestement mal fondé, doit être rejeté dans la mesure où il est recevable (cf. consid. 5.2 supra), sans autres échanges d’écritures (art. 390 al. 2 CPP), et l'ordonnance attaquée confirmée. Pour le surplus, le dossier de la cause sera renvoyé au Tribunal des mesures de contrainte pour qu'il statue sur la conclusion tendant à la constatation de l’illicéité des conditions de détention du recourant.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fixés à 720 fr., plus la TVA, par 57 fr. 60, soit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- 10 - Par ces motifs, la Chambre des recours pénale prononce : I. Le recours est rejeté dans la mesure où il est recevable. II. L’ordonnance du 1er décembre 2015 est confirmée. III. Le dossier de la cause est renvoyé au Tribunal des mesures de contrainte pour qu'il statue sur la conclusion tendant à la constatation de l’illicéité des conditions de détention d’L.________. IV. L'indemnité allouée au défenseur d'office d’L.________ est fixée à 777 fr. 60 (sept cent septante-sept francs et soixante centimes). V. Les frais du présent arrêt, par 990 fr. (neuf cent nonante francs), ainsi que l'indemnité due au défenseur d'office d’L.________ selon le chiffre IV ci-dessus, sont mis à la charge de ce dernier. VI. Le remboursement à l'Etat de l'indemnité allouée au chiffre IV ci-dessus sera exigible pour autant que la situation d’L.________ se soit améliorée. VII. Le présent arrêt est exécutoire. Le président : La greffière : Du Le présent arrêt, dont la rédaction a été approuvée à huis clos, est notifié, par l'envoi d'une copie complète, à : - Me Olivier Francioli, avocat (pour L.________), - Ministère public central;</w:t>
      </w:r>
    </w:p>
    <w:p>
      <w:r>
        <w:t>- 11 - et communiqué à : - M. le Président du Tribunal des mesures de contrainte, - Mme la Procureure de l’arrondissement de Lausanne, - Mme W.________,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