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PE15.023757 vom 18. Mai 2017</w:t>
      </w:r>
    </w:p>
    <w:p>
      <w:r>
        <w:t>VD Tribunal cantonal, 2017-05-18, FR</w:t>
      </w:r>
    </w:p>
    <w:p>
      <w:r>
        <w:rPr>
          <w:b/>
        </w:rPr>
        <w:t xml:space="preserve">Quelle: </w:t>
      </w:r>
      <w:r>
        <w:t>https://mcp.opencaselaw.ch/entscheid/vd_gerichte_PE15.023757</w:t>
      </w:r>
    </w:p>
    <w:p>
      <w:r>
        <w:t>FR: VD_GERICHTE PE15.023757 du 18 mai 2017</w:t>
      </w:r>
    </w:p>
    <w:p>
      <w:r>
        <w:t>IT: VD_GERICHTE PE15.023757 del 18 maggio 2017</w:t>
      </w:r>
    </w:p>
    <w:p>
      <w:pPr>
        <w:pStyle w:val="Heading2"/>
      </w:pPr>
      <w:r>
        <w:t>Volltext</w:t>
      </w:r>
    </w:p>
    <w:p>
      <w:r>
        <w:t>TRIBUNAL CANTONAL 336 PE15.023757-MEC CHAMBRE DE S RECO URS PEN ALE __________________________________________ Arrêt du 18 mai 2017 __________________ Composition : M. MAILLARD, président MM. Abrecht et Perrot, juges Greffière : Mme Cattin ***** Art. 85 al. 4 let. a CPP Statuant sur le recours interjeté le 9 mai 2017 par P.________ contre le prononcé rendu le 3 mai 2017 par le Tribunal de police de l’arrondissement de Lausanne dans la cause n° PE15.023757-MEC, la Chambre des recours pénale considère : En fait : A. Par ordonnance pénale du 22 septembre 2016, le Ministère public de l’arrondissement de Lausanne a condamné P.________ pour tentative de vol, vol, dommages à la propriété, utilisation frauduleuse d’un ordinateur et utilisation frauduleuse d’un ordinateur d’importance mineure à une peine privative de liberté de 160 jours et à une amende de 100 fr., a 351</w:t>
      </w:r>
    </w:p>
    <w:p>
      <w:r>
        <w:t>- 2 - révoqué le sursis accordé le 16 mars 2015 par le Tribunal de police de l’arrondissement de Lausanne et ordonné l’exécution de la peine pécuniaire de 20 jours-amende à 30 fr., a renvoyé les parties plaignantes à agir devant la justice civile s’agissant de leurs prétentions et a mis une partie des frais à la charge de P.________. Selon le suivi des envois de la Poste suisse, cette ordonnance pénale a été adressée le même jour à P.________, par lettre signature avec accusé de réception, à l’adresse « [...] Lausanne ». La Poste a réexpédié l’envoi à l’adresse « [...] Lausanne ». L’intéressé a été avisé pour retrait le 27 septembre 2016. Le pli recommandé n’a toutefois pas été retiré dans le délai postal de garde, qui venait à échéance le 4 octobre 2016. B. Le 26 avril 2017, P.________ a fait opposition à cette ordonnance pénale. Le 1er mai 2017, le Ministère public a transmis l’opposition, jugée tardive, au Tribunal de police de l’arrondissement de Lausanne. Par prononcé du 3 mai 2017, le Tribunal de police de l’arrondissement de Lausanne a déclaré irrecevable l’opposition formée par P.________ contre l’ordonnance pénale rendue le 22 septembre 2016 (I), a constaté que l'ordonnance pénale était exécutoire (II) et a dit que ce prononcé était rendu sans frais (III). C. Par acte du 11 mai 2017, P.________ a recouru auprès de la Chambre des recours pénale contre ce prononcé, en concluant implicitement à sa réforme en ce sens que l’opposition soit déclarée recevable. Il n’a pas été ordonné d’échange d’écritures. En d roit :</w:t>
      </w:r>
    </w:p>
    <w:p>
      <w:r>
        <w:t>- 3 - 1.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le prévenu qui a qualité pour recourir (art. 382 al. 1 CPP) et dans les formes prescrites (art. 385 al. 1 CPP), le recours est recevable.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w:t>
      </w:r>
    </w:p>
    <w:p>
      <w:r>
        <w:t>- 4 -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 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 TF 6B_314/2012 du 18 février 2013 consid. 1.2 ;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6B_314/2012 du 18 février 2013 consid. 1.3.1 ; ATF 130 III 396 consid. 1.2.3). La personne concernée doit s'attendre à la remise d'un prononcé lorsqu'elle est au courant qu'elle fait l'objet d'une instruction pénale au sens de l'art. 309 CPP (TF 6B_281/2012 du 9 octobre 2012 consid. 1.1 ; TF 6B_158/2012 du 27 juillet 2012 consid 2.1 ; Schmid, Schweizerische Strafprozessordnung [StPO], Praxiskommentar, 2e éd., 2013, n° 9 ad art. 85 CPP ; Moreillon/Parein-Reymond, Petit Commentaire du Code de procédure pénale, 2e éd. 2016, n° 17 ad art. 85 CPP). Ainsi, un prévenu informé par la police d'une procédure préliminaire le concernant, de sa</w:t>
      </w:r>
    </w:p>
    <w:p>
      <w:r>
        <w:t>- 5 - qualité de prévenu et des infractions reprochées, doit se rendre compte qu'il est partie à une procédure pénale et donc s'attendre à recevoir, dans ce cadre-là, des communications de la part des autorités, y compris un prononcé (TF 6B_314/2012 du 18 février 2013 consid. 1.3.2 ; TF 6B_281/2012 du 9 octobre 2012 consid. 1.1 ;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 TF 6B_704/2015 du 16 février 2016 consid. 2.3). 2.3 En l’espèce, le recourant soutient qu’il n’était pas au courant de sa condamnation et que celle-ci aurait dû lui être adressée au « [...] Lausanne ». Or, entendu par la police le 2 février 2016, le recourant a été informé de ses droits et obligations découlant de sa qualité de prévenu et a signé le formulaire l'avertissant qu'une procédure pénale était ouverte contre lui. Il devait ainsi s’attendre à recevoir des communications de la part des autorités pénales. Par ailleurs, lors de son audition, l’intéressé a indiqué désormais vivre à Lausanne, [...], mais avoir toujours son adresse officielle à [...], son courrier lui parvenant toujours à cette adresse (PV aud. 3, p. 2). Du reste, il ressort du suivi des envois de la Poste suisse que le recourant avait fait une demande de changement d’adresse afin que son courrier soit réexpédié à son nouveau domicile. L’ordonnance pénale du 22 septembre 2016 a ainsi été envoyée à l’adresse que le recourant a indiquée lors de son audition puis a été réexpédiée à son nouveau domicile le 27 septembre 2016. Elle est donc réputée avoir été notifiée au recourant à l’échéance du délai de garde, soit le 4 octobre 2016 (art. 85</w:t>
      </w:r>
    </w:p>
    <w:p>
      <w:r>
        <w:t>- 6 - al. 4 let. a CPP). Par conséquent, l’opposition formée le 26 avril 2017 était manifestement tardive et c’est à bon droit que le tribunal de première instance a déclaré cette opposition irrecevable. 3. En définitive, le recours, manifestement mal fondé, doit être rejeté sans autres échanges d’écritures (art. 390 al. 2 CPP) et le prononcé du 3 mai 2017 confirmé. Les frais de la procédure de recours, constitués en l’espèce de l’émolument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3 mai 2017 est confirmé. III. Les frais d’arrêt, par 660 fr. (six cent soixante francs), sont mis à la charge de P.________. IV. L’arrêt est exécutoire. Le président : La greffière : Du Le présent arrêt, dont la rédaction a été approuvée à huis clos, est notifié, par l'envoi d'une copie complète, à : - M. P.________,</w:t>
      </w:r>
    </w:p>
    <w:p>
      <w:r>
        <w:t>- 7 - - Ministère public central, et communiqué à : - Carmen De Rahm, - Sébastien Bouille, - Patricia Nunes Abreu, - Bruna Ribeiro Ferreira, - Mme la Présidente du Tribunal de police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