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PE15.023442 vom 10. Dezember 2015</w:t>
      </w:r>
    </w:p>
    <w:p>
      <w:r>
        <w:t>VD Tribunal cantonal, 2015-12-10, FR</w:t>
      </w:r>
    </w:p>
    <w:p>
      <w:r>
        <w:rPr>
          <w:b/>
        </w:rPr>
        <w:t xml:space="preserve">Quelle: </w:t>
      </w:r>
      <w:r>
        <w:t>https://mcp.opencaselaw.ch/entscheid/vd_gerichte_PE15.023442</w:t>
      </w:r>
    </w:p>
    <w:p>
      <w:r>
        <w:t>FR: VD_GERICHTE PE15.023442 du 10 décembre 2015</w:t>
      </w:r>
    </w:p>
    <w:p>
      <w:r>
        <w:t>IT: VD_GERICHTE PE15.023442 del 10 dicembre 2015</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RS 312] par</w:t>
      </w:r>
    </w:p>
    <w:p>
      <w:r>
        <w:t>- 3 - renvoi de l’art. 357 al. 2 CPP), est susceptible de recours selon les art. 393 ss CPP (Juge unique CREP 16 juillet 2015/476; CREP 21 août 2014/593).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Juge unique CREP 16 juillet 2015/476).</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Si l'opposition a été formée tardivement, le tribunal la déclare irrecevable. Elle est tardive si elle a été</w:t>
      </w:r>
    </w:p>
    <w:p>
      <w:r>
        <w:t>- 4 -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24 mars 2015 a été adressée sous pli simple au prévenu. Le recourant a admis, dans son opposition, avoir reçu l’ordonnance en cause, puisqu’il la cite référence à l’appui. La notification de cet acte au recourant doit donc être tenue pour établie dans son principe.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comme selon les brochures</w:t>
      </w:r>
    </w:p>
    <w:p>
      <w:r>
        <w:t>- 5 - antérieures intitulées «Lettres Suisse», le courrier B posté en Suisse est distribué « au plus tard le 3e jour ouvrable suivant le dépôt (sans le samedi)». Selon la jurisprudence de la cour de céans, le délai d’acheminement du courrier figurant dans l’offre de prestations susmentionnée peut servir de référence pour déterminer la date de la notification d’un acte acheminé sous pli simple (cf. notamment CREP 3 septembre 2014/637). Dans le cas d’espèce, l’ordonnance pénale a été expédiée sitôt après avoir été rendue, soit le 24 mars 2015, comme le mentionne expressément le procès-verbal des opérations dressé par la préfecture. On doit ainsi admettre qu’elle est parvenue à son destinataire le vendredi 27 mars 2015 au plus tard. Courant depuis le lendemain de la notification (art. 90 al. 1 CPP), le délai d’opposition a dès lors expiré le lundi 6 avril 2015. Déposée le 30 septembre 2015 seulement, l’opposition est donc manifestement tardive. Pour le surplus, le recourant n’a pas requis la restitution du délai d’opposition selon l’art. 94 CPP. Enfin, les moyens de fond qu’il soulève dans son recours sont irrecevables dans la présente procédure. C’est donc à juste titre que le tribunal de police a déclaré l’opposition irrecevable.</w:t>
      </w:r>
    </w:p>
    <w:p>
      <w:r>
        <w:rPr>
          <w:b/>
        </w:rPr>
        <w:t>E. 3</w:t>
      </w:r>
    </w:p>
    <w:p>
      <w:r>
        <w:t>En définitive, le recours, manifestement mal fondé, doit être rejeté sans autre échange d’écritures (art. 390 al. 2 CPP) et le prononcé du 24 novembre 2015 confirmé. Les frais de la procédure de recours, constitués en l'espèce du seul émolument d’arrêt, par 450 fr. (art. 20 al. 1 TFIP [Tarif des frais de procédure et indemnités en matière pénale du 28 septembre 2010; RSV 312.03.1]), seront mis à la charge du recourant, qui succombe (art. 428 al. 1 CPP).</w:t>
      </w:r>
    </w:p>
    <w:p>
      <w:r>
        <w:t>- 6 - Par ces motifs, le juge unique prononce : I. Le recours est rejeté. II. Le prononcé du 24 novembre 2015 est confirmé. III. Les frais d’arrêt, par 450 fr. (quatre cent cinquante francs), sont mis à la charge de G.________. IV. Le présent arrêt est exécutoire. Le juge unique : Le greffier : Du Le présent arrêt, dont la rédaction a été approuvée à huis clos, est notifié, par l'envoi d'une copie complète, à : - M. G.________, - Ministère public central, et communiqué à : - Mme la Présidente du Tribunal de police de l’arrondissement de l’Est vaudois, - Préfecture du district de la Riviera-Pays d’Enhaut (affaire RPE/01/15/0002380),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