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PE15.023439 vom 17. Mai 2017</w:t>
      </w:r>
    </w:p>
    <w:p>
      <w:r>
        <w:t>VD Tribunal cantonal, 2017-05-17, FR</w:t>
      </w:r>
    </w:p>
    <w:p>
      <w:r>
        <w:rPr>
          <w:b/>
        </w:rPr>
        <w:t xml:space="preserve">Quelle: </w:t>
      </w:r>
      <w:r>
        <w:t>https://mcp.opencaselaw.ch/entscheid/vd_gerichte_PE15.023439</w:t>
      </w:r>
    </w:p>
    <w:p>
      <w:r>
        <w:t>FR: VD_GERICHTE PE15.023439 du 17 mai 2017</w:t>
      </w:r>
    </w:p>
    <w:p>
      <w:r>
        <w:t>IT: VD_GERICHTE PE15.023439 del 17 maggio 2017</w:t>
      </w:r>
    </w:p>
    <w:p>
      <w:pPr>
        <w:pStyle w:val="Heading2"/>
      </w:pPr>
      <w:r>
        <w:t>Erwägungen</w:t>
      </w:r>
    </w:p>
    <w:p>
      <w:r>
        <w:rPr>
          <w:b/>
        </w:rPr>
        <w:t>E. 1</w:t>
      </w:r>
    </w:p>
    <w:p>
      <w:r>
        <w:t>Célibataire, Z.________, de nationalité suisse, est né en 1972 au Tessin, canton dans lequel il a été élevé et a suivi toute sa scolarité obligatoire. Le prévenu a une formation de menuisier sur meubles et a travaillé dans ce domaine dans son canton d’origine. En 2002, il est venu s’établir dans le canton de Vaud, pour y prendre un emploi auprès de la caserne de [...] car il avait été engagé par l’Armée suisse à 100 % en tant que chef sport et chef de munition, avec pour mandat de dispenser des cours aux recrues et aux cadres. Il a occupé cet emploi pendant cinq ans. Ensuite, il a à nouveau travaillé dans la construction pour différentes entreprises jusqu’en juin 2016, date à laquelle il a été licencié par son employeur pour raisons économiques. Le prévenu a été au bénéfice d’indemnités de l’assurance chômage durant plusieurs mois avant de retrouver un emploi comme représentant pour fenêtres et portes au début de septembre 2017. Il perçoit un salaire de 4'200 fr. net, 13 fois l'an. Le prévenu, qui n’a pas de fortune, paie un loyer mensuel de 1'520 fr. pour son appartement de quatre pièces à Pully. Il déclare avoir des factures arriérées de primes d’assurance maladie, qui s’élèvent à environ 470 fr. par mois, raison pour laquelle il a demandé un arrangement de paiement à son assurance. Il a également un plan de recouvrement avec les impôts, en vertu duquel il paye entre 600 et 800 fr. par mois. Actuellement, le prévenu dit avoir pour environ 8'000 fr. de dettes. Jamais marié, Z.________ a vécu pendant six ans avec une compagne dont il a eu un fils né le [...] 2002. Selon jugement rendu par la Présidente du Tribunal civil d’arrondissement de l’Est vaudois le 12 juin 2014, le prévenu est astreint au versement d’une pension alimentaire pour son fils d’un montant de 870 fr. par mois jusqu’à ce que l’enfant ait atteint l’âge de 15 ans révolus, puis de 945 fr. par mois jusqu’à la majorité ou l’indépendance financière de l’enfant, l’art. 277 al. 2 CC étant réservé. Le prévenu se déclare homosexuel depuis sa rupture avec la mère de son fils, expliquant cette nouvelle orientation par sa déception de la gent féminine. Z.________ dit être toujours en conflit avec la mère de son fils, en particulier s’agissant de l’exercice de son droit de visite.</w:t>
      </w:r>
    </w:p>
    <w:p>
      <w:r>
        <w:t>- 10 - Le casier judiciaire suisse de Z.________ comporte la mention d'une condamnation prononcée le 31 mars 2014 par le Ministère public de l'arrondissement de l'Est vaudois pour conducteur se trouvant dans l'incapacité de conduire, à 40 jours-amende à 45 fr., avec délai d'épreuve de 4 ans, ainsi qu'à une amende de 450 francs.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3</w:t>
      </w:r>
    </w:p>
    <w:p>
      <w:r>
        <w:t>L'appelant conteste sa condamnation pour tentative d'actes d'ordre sexuel avec des enfants. Il indique qu'A.U.________ lui a confirmé à plusieurs reprises qu'il avait 16 ans, qu'il ne lui a personnellement pas proposé de se livrer à des actes à caractère sexuel, qu'il ne s'est pas rendu chez lui dans cette optique et que, même s'il a pénétré dans le logement, cela ne suffit pas pour retenir un début d'exécution d'infraction.</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- 12 -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op. cit., nn. 19 ss ad art. 398 CPP, et les références jurisprudentielles citées).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op. cit., loc. cit.).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w:t>
      </w:r>
    </w:p>
    <w:p>
      <w:r>
        <w:t>- 13 - et irréductibles, qui s'imposent au vu de la situation objective (ATF 127 I 38 consid. 2a).</w:t>
      </w:r>
    </w:p>
    <w:p>
      <w:r>
        <w:rPr>
          <w:b/>
        </w:rPr>
        <w:t>E. 3.1.2</w:t>
      </w:r>
    </w:p>
    <w:p>
      <w:r>
        <w:t>L'art. 187 CP punit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(Dupuis et al., Code pénal annoté, Petit commentaire, Bâle 2e éd. 2017, n. 1 ss ad art. 187 CP). Par acte d’ordre sexuel, il faut entendre une activité corporelle sur soi-même ou sur autrui qui tend à l’excitation ou à la jouissance sexuelle de l’un des participants au moins (Corboz, Les infractions en droit suisse, vol. I, 3e éd. Berne 2010, n. 6 ad art. 187 CP; Donatsch, Strafrecht III, 9e éd., 2008, p. 459).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6B_7/2011 du 15 février 2011 consid. 1.2; TF 6B_777/2009 du 25 mars 2010 consid. 4.3; TF 6S.355/2006 du 7 décembre 2006 consid. 3.1, non publié à I’ATF 133 IV 31).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Corboz, op. cit., n. 7 ad art. 187 CP).</w:t>
      </w:r>
    </w:p>
    <w:p>
      <w:r>
        <w:t>- 14 - Un baiser sur la bouche ou une tape sur les fesses sont des actes insignifiants qui ne sont pas des actes d’ordre sexuel (Corboz, op. cit., n. 10 ad art. 187 CP). En revanche, un baiser lingual ou des baisers insistants sur la bouche revêtent indiscutablement un caractère sexuel (ATF 125 IV 58 consid. 3b; TF 6B_7/2011 du 15 février 2011 consid. 1.4; Corboz, op. cit., n. 10 ad art. 187 CP). Il en va de même d’une caresse insistante du sexe, des fesses ou des seins, même par-dessus les habits (Trechsel/Bertossa, Schweizerisches Strafgesetzbuch, Praxiskommentar, 2008, n. 6 ad art. 187 CP). Lorsque la victime est un enfant, la pratique tend à admettre l’existence d’un acte d’ordre sexuel même pour des attouchements furtifs par-dessus les habits, qui entraîneraient plutôt, entre adultes, l’application de l’art. 198 al. 2 CP (TF 6B_103/2011 précité; Corboz, op. cit., n. 7 ad art. 187 CP).</w:t>
      </w:r>
    </w:p>
    <w:p>
      <w:r>
        <w:rPr>
          <w:b/>
        </w:rPr>
        <w:t>E. 3.1.3</w:t>
      </w:r>
    </w:p>
    <w:p>
      <w:r>
        <w:t>A teneur de l’art. 22 al. 1er CP, le juge peut atténuer la peine si l'exécution d'un crime ou d'un délit n'est pas poursuivie jusqu'à son terme ou que le résultat nécessaire à la consommation de l'infraction ne se produit pas ou ne pouvait pas se produire. L'art. 22 al. 1 CP réunit dans une même disposition la tentative achevée (ou délit manqué) et la tentative inachevée. Il y a délit manqué lorsque l'auteur a achevé son activité coupable, mais que le résultat délictueux ne se produit pas. En revanche, il faut retenir une tentative inachevée lorsque l'auteur a commencé l'exécution d'un crime ou d'un délit sans avoir poursuivi jusqu'au bout son activité coupable (cf. ATF 131 IV 100 consid. 7.2.1; ATF 119 IV 224 consid. 2; Favre/Pellet/ Stoudmann, Code pénal annoté, 3e éd., Lausanne 2007/2011, nn. 1.2 et 1.10 ad art. 22 CP; Dupuis et al. op. cit., n. 3 ad Rem. prél. aux art. 22 et 23 CP et n. 2 ad 22 CP). La tentative inachevée suppose, à la différence des actes préparatoires, un début d'exécution ; il faut que les actes accomplis représentent, dans l'esprit de l'auteur, la démarche ultime et décisive vers l'accomplissement de l'infraction et après laquelle on ne revient</w:t>
      </w:r>
    </w:p>
    <w:p>
      <w:r>
        <w:t>- 15 - normalement plus en arrière, sauf survenance de circonstances extérieures qui rendent l'exécution de l'intention plus difficile sinon impossible (ATF 131 IV 100 consid. 7.2.1 ; ATF 119 IV 224 consid. 2). Si, pour une raison indépendante de sa volonté, l'auteur ne peut pas poursuivre son action jusqu'à commettre l'acte d'ordre sexuel ou si son action ne lui permet pas de l'accomplir, il y a tentative inachevée. Si l'auteur renonce, de son propre mouvement, avant l'acte d'ordre sexuel, il y a désistement au sens de l'art. 23 CP. Comme le comportement de l'auteur suffit à consommer l'infraction, le délit manqué ne se conçoit pas (ATF 127 IV 99 consid. la). Dans un ATF 131 IV 100 (JdT 2007 IV 95), le Tribunal fédéral a retenu que celui qui, sur le forum de discussion d'une page Internet, convient avec un mineur d'un rendez-vous dans un lieu public pour accomplir des actes d'ordre sexuel, se rend coupable de tentative d'actes d'ordre sexuel avec des enfants, lorsqu'il se trouve à l'heure dite à l'endroit prévu.</w:t>
      </w:r>
    </w:p>
    <w:p>
      <w:r>
        <w:rPr>
          <w:b/>
        </w:rPr>
        <w:t>E. 3.2</w:t>
      </w:r>
    </w:p>
    <w:p>
      <w:r>
        <w:t>En l'espèce, il est vrai que, lors des échanges écrits avec l'appelant, A.U.________ a toujours affirmé avoir 16 ans. L'appelant a toutefois admis avoir tout de suite réalisé l'âge de son correspondant lorsqu'ils se sont rencontrés au domicile de ce dernier, expliquant que lorsque le garçon s'était assis sur le canapé en face de lui, il avait ressenti comme un choc, puisqu'il s'était rendu compte que l'enfant n'avait pas 16 ans (cf. PV aud. 1, ad R 8). D'ailleurs, lors de cette audition, l'appelant, à qui on présentait une photo de la victime, a déclaré ceci "vous me demandez quel âge peut avoir l'individu présenté. Là, sur cette photo, je lui donne 14 ans maximum" (PV aud. 1, ad R6). Pour le reste, l'intention d'obtenir des actes d'ordre sexuel résulte non seulement des déclarations de la victime, mais également de la correspondance échangée entre l'appelant et le jeune garçon. En effet, à la lecture des messages, on comprend qu'ils avaient prévu un échange de baisers et de caresses lors de leur rencontre. Une fois qu'il s'est rendu compte de l'âge d'A.U.________, l'appelant n'a pas quitté les lieux</w:t>
      </w:r>
    </w:p>
    <w:p>
      <w:r>
        <w:t>- 16 - immédiatement. Au contraire, il a invité l'enfant à s'asseoir auprès de lui pour lui montrer différentes choses sur son lpad. Il a ensuite tenté une approche, en entourant son épaule droite avec son bras. Lorsque l'enfant s'est dégagé, l'appelant a persévéré, en lui disant qu'il ne fallait pas être timide. Il lui a finalement caressé la cuisse, ce qui démontre que son intention initiale n'avait pas changé. A ce sujet, il n'y a pas lieu de douter des déclarations de l'enfant, celui-ci s'étant montré précis sans chercher à accabler le prévenu. Au vu de l'ensemble des éléments qui précèdent, la condamnation pour tentative d'actes d'ordre sexuel sur un enfant doit être confirmée, étant précisé que, s'agissant d'un mineur, son éventuel consentement n'a aucune influence sur la réalisation ou non de l'infraction.</w:t>
      </w:r>
    </w:p>
    <w:p>
      <w:r>
        <w:rPr>
          <w:b/>
        </w:rPr>
        <w:t>E. 4</w:t>
      </w:r>
    </w:p>
    <w:p>
      <w:r>
        <w:t>L'appelant conteste le prononcé de la règle de conduite qui lui a été imposée par le premier juge sous la forme de la mise en oeuvre d'un suivi psychothérapeutique ambulatoire.</w:t>
      </w:r>
    </w:p>
    <w:p>
      <w:r>
        <w:rPr>
          <w:b/>
        </w:rPr>
        <w:t>E. 4.1</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Lorsque le juge suspend totalement ou partiellement l'exécution d'une peine, il impartit au condamné un délai d'épreuve de deux à cinq ans (art. 44 al. 1 CP). Il peut ordonner une assistance de probation et imposer des règles de conduite pour la durée du délai d'épreuve (art. 44 al. 2 CP). Dans le cadre ainsi fixé par la loi, le juge détermine la durée du délai d’épreuve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w:t>
      </w:r>
    </w:p>
    <w:p>
      <w:r>
        <w:t>- 17 - de nouvelles infractions (TF 6B_423/2013 du 27 juin 2013 consid. 5.1 ; TF 6B_101/2010 du 4 juin 2010 consid. 2.1 et les références citées). Aux termes de l’art. 94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(ATF 130 IV 1 consid. 2.1; ATF 108 IV 152 consid. 3a; ATF 106 IV 325 consid. 1 et les arrêts cités). Le choix et le contenu de la règle de conduite doivent s'inspirer de considérations pédagogiques, sociologiques et médicales (ATF 107 IV 88 consid. 3a,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La loi prévoit expressément que la règle de conduite peut porter sur des soins médicaux ou psychiques. Il est admis en pratique que la règle de conduite peut obliger le condamné à se soumettre à un traitement psychiatrique ou à des contrôles médicaux réguliers (par exemple des contrôles d'urine).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il ne peut être</w:t>
      </w:r>
    </w:p>
    <w:p>
      <w:r>
        <w:t>- 18 - affecté de l'un de ces troubles qu'à un faible degré. En outre, en cas d'échec, la règle de conduite ne peut pas être convertie en une mesure thérapeutique institutionnelle (conformément à l'art. 63b al. 5 CP; Stratenwerth, Schweizerisches Strafrecht, Allgemeiner Teil II: Strafen und Massnahmen, 2e éd., Berne 2006, § 5 N. 79, note de bas de page 143; cf. TF 6S.244/1990 du 1er août 1990).</w:t>
      </w:r>
    </w:p>
    <w:p>
      <w:r>
        <w:rPr>
          <w:b/>
        </w:rPr>
        <w:t>E. 4.2</w:t>
      </w:r>
    </w:p>
    <w:p>
      <w:r>
        <w:t>En l'espèce, la règle de conduite qui assortit le sursis dont bénéficie Z.________ est justifiée. En effet, comme l'a relevé à juste titre le premier juge, l'appelant persiste à nier toute responsabilité du chef des actes d'ordre sexuel : lui imposer la mise en œuvre d'un suivi psychothérapeutique pour lui permettre de se questionner sur son éventuelle attirance pour les jeunes est tout à fait adapté au but du sursis afin que l'appelant prenne précisément conscience de son comportement et qu'il puisse s'amender durablement. La règle de conduite doit ainsi être confirmée.</w:t>
      </w:r>
    </w:p>
    <w:p>
      <w:r>
        <w:rPr>
          <w:b/>
        </w:rPr>
        <w:t>E. 5</w:t>
      </w:r>
    </w:p>
    <w:p>
      <w:r>
        <w:t>En définitive, l’appel doit être rejeté et le jugement de première instance intégralement confirmé. Sur la base de la liste des opérations produite par Me Cyrielle Kern, défenseur d’office de Z.________, et dont il n’y a lieu de s’écarter si ce n’est sur la durée estimée du temps d’audience, une indemnité pour la procédure d'appel d'un montant de 1'495 fr. 80, TVA et débours inclus, lui sera allouée. Vu l’issue de la cause, les frais de la procédure d’appel, par 3'215 fr. 80, constitués en l’espèce de l’émolument du jugement, par 1'720 fr. (art. 21 al. 1 et 2 TFIP [tarif des frais de procédure et indemnités en matière pénale du 28 septembre 2010 ; RSV 312.03.1]), et de l’indemnité allouée au défenseur d’office, par 1'495 fr. 80, doivent être mis à la charge du prévenu qui succombe (art. 428 al. 1 CPP).</w:t>
      </w:r>
    </w:p>
    <w:p>
      <w:r>
        <w:t>- 19 - Z.________ ne sera tenu de rembourser à l’Etat l’indemnité allouée à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