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PE15.023313 vom 31. März 2023</w:t>
      </w:r>
    </w:p>
    <w:p>
      <w:r>
        <w:t>VD Tribunal cantonal, 2023-03-31, FR</w:t>
      </w:r>
    </w:p>
    <w:p>
      <w:r>
        <w:rPr>
          <w:b/>
        </w:rPr>
        <w:t xml:space="preserve">Quelle: </w:t>
      </w:r>
      <w:r>
        <w:t>https://mcp.opencaselaw.ch/entscheid/vd_gerichte_PE15.023313</w:t>
      </w:r>
    </w:p>
    <w:p>
      <w:r>
        <w:t>FR: VD_GERICHTE PE15.023313 du 31 mars 2023</w:t>
      </w:r>
    </w:p>
    <w:p>
      <w:r>
        <w:t>IT: VD_GERICHTE PE15.023313 del 31 marzo 2023</w:t>
      </w:r>
    </w:p>
    <w:p>
      <w:pPr>
        <w:pStyle w:val="Heading2"/>
      </w:pPr>
      <w:r>
        <w:t>Erwägungen</w:t>
      </w:r>
    </w:p>
    <w:p>
      <w:r>
        <w:rPr>
          <w:b/>
        </w:rPr>
        <w:t>E. 3</w:t>
      </w:r>
    </w:p>
    <w:p>
      <w:r>
        <w:t>Invoquant une violation de l’art. 251 CP, la recourante soutient que les contrats litigieux, qui seraient, comme l’a retenu le Ministère public, des contrats simulés, bénéficieraient d’une crédibilité accrue, en raison, d’une part, d’une relation commerciale existant de longue date entre les protagonistes de l’affaire en cause et, d’autre part, des usages commerciaux et de la nature particulière des contrats et procès-verbaux d’installation signés. Elle relève tout d’abord qu’elle était en relation d’affaires avec les entités du groupe W.________ depuis 2004 et, en particulier, avec D.________ depuis de nombreux mois, sans qu’aucun incident ne se soit produit ; elle y voit un fait de nature à instaurer une relation de confiance plus accrue. Elle considère ensuite que les contrats litigieux étaient destinés et propres à prouver un contenu ayant une portée juridique et disposaient à cet égard d’une crédibilité accrue selon les usages commerciaux.</w:t>
      </w:r>
    </w:p>
    <w:p>
      <w:r>
        <w:rPr>
          <w:b/>
        </w:rPr>
        <w:t>E. 3.1</w:t>
      </w:r>
    </w:p>
    <w:p>
      <w:r>
        <w:t>Selon l’art. 251 CP, se rend coupable de faux dans les titres celui qui, dans le dessein de porter atteinte aux intérêts pécuniaires ou aux droits d’autrui, ou de se procurer ou de procurer à un tiers un</w:t>
      </w:r>
    </w:p>
    <w:p>
      <w:r>
        <w:t>- 13 - avantage illicite, aura créé un titre faux, falsifié un titre, abusé de la signature ou de la marque à la main réelles d’autrui pour fabriquer un titre supposé, ou constaté ou fait constater faussement, dans un titre, un fait ayant une portée juridique (al. 1), ou aura, pour tromper autrui, fait usage d’un tel titre (al. 2). La notion de titre est définie par l’art. 110 al. 4 CP. Selon cette disposition, sont des titres tous les écrits destinés et propres à prouver un fait ayant une portée juridique et tous les signes destinés à prouver un tel fait.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ATF 142 IV 119 consid. 2.1, ATF 138 IV 130 consid. 2.1 ; TF 6B_383/2019 consid. 8.3.1).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ATF 142 IV 119 consid. 2.1 et les références citées ; TF 6B_383/2019 du 8 novembre 2019 consid. 8.3.1 non publié in ATF 145 IV 470).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 TF 6B_367/2022 du 4 juillet 2022 consid. 1.2 et les références citées).</w:t>
      </w:r>
    </w:p>
    <w:p>
      <w:r>
        <w:t>- 14 -</w:t>
      </w:r>
    </w:p>
    <w:p>
      <w:r>
        <w:rPr>
          <w:b/>
        </w:rPr>
        <w:t>E. 3.1.1</w:t>
      </w:r>
    </w:p>
    <w:p>
      <w:r>
        <w:t>De jurisprudence constante, un contrat dont le contenu est faux ne constitue en principe pas un titre car il ne bénéficie pas de la crédibilité accrue nécessaire (ATF 146 IV 258 consid. 1.1.1 ; TF 6B_807/2021 du 7 juin 2022 consid. 3.1.2).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(ATF 146 IV 258 consid. 1.1.1 ; ATF 123 IV 61 consid. 5c/cc ; TF 6B_807/2021 du 7 juin 2022 consid. 3.1.2). L'art. 251 CP a ainsi été jugé inapplicable à un contrat de vente dont certains éléments étaient faux (ATF 120 IV 25) et à un contrat simulé utilisé par une partie pour obtenir un crédit (ATF 123 IV 61). Le faux intellectuel dans les titres n'a pas non plus été admis s'agissant de deux déclarations relatives au financement de l'achat d'un appartement, documents dont le contenu était mensonger (ATF 125 IV 273 consid. 3b).</w:t>
      </w:r>
    </w:p>
    <w:p>
      <w:r>
        <w:rPr>
          <w:b/>
        </w:rPr>
        <w:t>E. 3.1.2</w:t>
      </w:r>
    </w:p>
    <w:p>
      <w:r>
        <w:t>Enfin, la jurisprudence considère que certains documents possèdent une valeur probante accrue en raison de la fonction de la personne qui les établit, cette personne se trouvant dans une position comparable à celle d'un garant à l'égard des personnes induites en erreur (ATF 123 IV 61 conid. 5c/cc ; ATF 121 IV 131 consid. 2c ; ATF 120 IV 25 consid. 3f).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(ATF 117 IV 165 consid. 2c ; ATF 103 IV 178 consid. 2) ainsi qu'une approbation écrite inexacte émanant d'un architecte chargé par le maître d'ouvrage de vérifier des factures (ATF 119 IV 54 consid. 2d/dd). La jurisprudence a également reconnu que les confirmations d'état de compte émises par un organe dirigeant d'une succursale bancaire avaient une valeur probante accrue du fait de la confiance particulière dont</w:t>
      </w:r>
    </w:p>
    <w:p>
      <w:r>
        <w:t>- 15 - jouissent les banques, lesquelles sont soumises à une législation spéciale et à des contrôles spécifiques (ATF 120 IV 361 consid. 2c). Toutefois, le seul fait que le document mentionne ou soit matériellement rédigé par une personne qui jouit dans les faits d'un crédit particulier - comme un notaire - n'accroît pas sa valeur probante (ATF 125 IV 273 consid. 3b).</w:t>
      </w:r>
    </w:p>
    <w:p>
      <w:r>
        <w:rPr>
          <w:b/>
        </w:rPr>
        <w:t>E. 3.2</w:t>
      </w:r>
    </w:p>
    <w:p>
      <w:r>
        <w:t>En l’espèce, il n’est pas contesté que les contrats conclus entre [...], devenue C.________, et T.________ sont matériellement authentiques, dès lors qu’ils ont été signés par les représentants des sociétés concernées et qu’ils n’ont pas été altérés après signatures. Il n’est pas non plus contesté que les contrats sont simulés, et donc mensongers, puisqu’il ressort de l’instruction que ceux-ci ne portaient pas sur la mise à disposition de matériel de sécurité et de prestations de services en lien avec ce matériel, la volonté réelle des contractants étant, en réalité, de permettre le financement d’une nouvelle technologie, sans procéder à l’installation du matériel. A cet égard, la motivation du Ministère public est argumentée et ne prête pas le flanc à la critique (cf. ordonnance de classement, pp. 8 à 10). Du reste, la recourante n’invoque pas que cette motivation serait erronée ni a fortiori qu’on ne se trouverait pas en présence d’un contrat simulé. Or, selon la jurisprudence, un contrat simulé entre deux parties et présenté à un tiers dans le but de tromper ce dernier ne constitue pas un faux dans les titres car il ne bénéficie pas de la crédibilité accrue nécessaire (cf. ATF 146 I 258 consid. 1.1.1). Dans son acte, la recourante soutient que les contrats précités seraient des titres dès lors qu’ils bénéficieraient d’une crédibilité accrue, en raison, d’une part, d’une relation commerciale « très étroite » existant de longue date entre les protagonistes de l’affaire en cause et, d’autre part, des usages commerciaux et de la nature particulière des contrats et procès-verbaux d’installation signés. En l’occurrence, on ne distingue pas en quoi D.________ et la société C.________, représentée par V.________, se seraient trouvés dans une position comparable à celle d'un garant à l'égard de la société recourante. A cet égard, une relation d’affaires « étroite », quelle que soit sa durée, ne suffit pas à créer une position de garant au sens de la jurisprudence précitée (cf. supra consid. 3.1.2). Par</w:t>
      </w:r>
    </w:p>
    <w:p>
      <w:r>
        <w:t>- 16 - ailleurs, la recourante se limite à évoquer des usages commerciaux sans toutefois exposer quels seraient ces usages et les motifs pour lesquels ils confèreraient aux contrats litigieux un crédit particulier. Enfin, la Chambre de céans ne voit pas en quoi la nature de l’affaire serait à ce point « particulière » qu’elle aurait pour conséquence de placer les prévenus dans une position de garant au sens de la jurisprudence, ce que la recourante ne démontre pas davantage. Par ailleurs, à l’instar du procureur (cf. ordonnance entreprise, p. 11 in fine), la Chambre de céans relève qu’aucun élément du dossier ne suggère que le prévenu V.________ aurait su, au moment de la signature des neufs contrats, que ceux-ci étaient simulés, dès lors qu’à l’origine, ces contrats avaient été négociés entre D.________ et la direction française d’[...] (P. 43). La recourante, dont les griefs sont d’ailleurs uniquement dirigés contre D.________, ne soutient du reste pas le contraire. Partant, les contrats litigieux, de même que les procès-verbaux d’installation, ne sont pas des titres, de sorte qu’une condamnation pour faux dans les titres est exclue.</w:t>
      </w:r>
    </w:p>
    <w:p>
      <w:r>
        <w:rPr>
          <w:b/>
        </w:rPr>
        <w:t>E. 4</w:t>
      </w:r>
    </w:p>
    <w:p>
      <w:r>
        <w:t>Invoquant une violation de l’art. 146 CP, la recourante reproche à D.________ de s’être servi des contrats litigieux et des procès- verbaux d’installation, dont il savait le contenu totalement faux, pour la convaincre de financer (« racheter ») lesdits contrats. Elle soutient que c’est uniquement sur la base de ces contrats simulés, dont elle n’avait pas de raison de douter de la réalité, qu’elle a procédé au « rachat » des contrats à C.________. Elle relève en outre qu’elle s’est appauvrie exclusivement du fait de son comportement sur la base des contrats simulés, sans intervention supplémentaire des prévenus, de sorte que l’acte de disposition qu’elle a effectué a entraîné directement le préjudice. Selon elle, le terme « directement » se réfèrerait à la manière de procéder et non à la temporalité. Le fait que le préjudice ait été découvert plus tard ne permettrait donc pas de retenir que l’exigence d’immédiateté ne serait pas réalisée. Par ailleurs, elle conteste que le dommage subi soit la conséquence d’un choix contractuel qu’elle a fait, dès lors qu’au moment</w:t>
      </w:r>
    </w:p>
    <w:p>
      <w:r>
        <w:t>- 17 - où elle s’est rendue compte qu’elle avait été victime d’une escroquerie, la société C.________ avait fait faillite et qu’elle ne pouvait donc s’en prendre à cette dernière. Enfin, elle considère que les prévenus avaient l’intention de lui porter préjudice. Ceux-ci lui auraient ainsi présenté des contrats simulés et des procès-verbaux d’installation mensongers dans le but de lui faire payer du matériel inexistant aux fins d’augmenter artificiellement le chiffre d’affaires de C.________ et de faire monter le cours de ses actions. L’intention des prévenus résulterait également des protocoles confidentiels passés entre D.________ et B.________.</w:t>
      </w:r>
    </w:p>
    <w:p>
      <w:r>
        <w:rPr>
          <w:b/>
        </w:rPr>
        <w:t>E. 4.1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2e éd., Bâle 2017, n. 1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w:t>
      </w:r>
    </w:p>
    <w:p>
      <w:r>
        <w:t>- 18 -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précité ; ATF 135 IV 76 précité consid. 5.2 ; TF 6B_613/2020 du 17 septembre 2020 consid. 1.2.1).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(ATF 128 IV 255 consid. 2e/aa ; ATF 126 IV 113 consid. 3a, JdT 2001 IV 48). En ce sens,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 il s'agit alors uniquement d'une certaine mise en danger du patrimoine, qui ne suffit en principe pas à constituer un dommage (ATF 128 IV 255 consid. 2e/aa ; Corboz, Les infractions en droit suisse, vol. I, 3e</w:t>
      </w:r>
    </w:p>
    <w:p>
      <w:r>
        <w:t>- 19 - éd., Berne 2010, n. 29 ad art. 146 CP ; Dupuis et al. [éd.], op. cit., n. 23 à 26 ad art. 146 CP).</w:t>
      </w:r>
    </w:p>
    <w:p>
      <w:r>
        <w:rPr>
          <w:b/>
        </w:rPr>
        <w:t>E. 4.2</w:t>
      </w:r>
    </w:p>
    <w:p>
      <w:r>
        <w:t>En l’espèce, l’élément subjectif de l’escroquerie fait manifestement défaut dès lors, d’une part, que l’ensemble des locations ont été payées par T.________ jusqu’en avril 2011, soit durant plus de deux ans, et, d’autre part, que les contrats de cession litigieux, à l’exception du premier daté du 26 mars 2008, comportaient tous un engagement de rachat au premier impayé. Ainsi, si le locataire T.________ cessait de s’acquitter des redevances mensuelles dues, la société plaignante conservait la possibilité d’être indemnisée par C.________. La clause de rachat prévoyait en outre un mécanisme qui permettait à M.________ de compenser les montants qu’elle devait à C.________ au titre de la maintenance sur les installations avec des éventuels loyers impayés. Par ailleurs, la société plaignante disposait d’un débiteur solidaire puisqu’elle pouvait également se retourner contre le locataire T.________ pour obtenir le paiement de loyers dus. Or, force est de constater qu’elle n’a utilisé aucune de ces deux alternatives contractuelles, qui lui permettaient pourtant de se prémunir, à tout le moins en partie, contre un éventuel dommage. Du reste, la partie plaignante était parfaitement consciente du risque financier encouru, dès lors qu’elle a pris la peine de prévoir une clause de rachat, procédé qu’elle a reconnu être inusuel (cf. supra En fait let. A/c). On ne distingue ainsi pas en quoi D.________ et V.________ auraient eu, au moment du refinancement des contrats litigieux, l’intention de porter préjudice à M.________, puisqu’en cas de cessation de paiement des loyers par le locataire, cette dernière aurait pu refacturer, dès le premier impayé, les montants des contrats à C.________, qui, en définitive, assumait le risque financier. Par ailleurs, il faut constater que l’acte de disposition de M.________, soit le refinancement des contrats litigieux, est intervenu au moment où elle s’est acquittée des neuf factures de C.________ relatives au rachat du matériel de sécurité, soit le 17 décembre 2008 (P. 5/10). Or, le préjudice allégué est survenu au plus tôt postérieurement à la dernière redevance mensuelle dont s’est acquittée T.________, soit en avril 2011.</w:t>
      </w:r>
    </w:p>
    <w:p>
      <w:r>
        <w:t>- 20 - L’immédiateté requise par la jurisprudence (cf. supra consid. 4.1) n’est ainsi pas réalisée. En effet, le préjudice allégué ne s’est réalisé qu’en vertu d’un acte subséquent, à savoir la cessation des paiements par T.________, intervenue plus de deux ans après le refinancement des contrats litigieux. C’est donc cet acte, ainsi que le choix unilatéral opéré par M.________, à savoir celui de ne pas faire usage de la clause de rachat, qui lui a causé le dommage allégué. Ainsi, au moment du refinancement, elle se trouvait dans la situation de celui qui accepte l’éventualité d’une mise en danger de son patrimoine. Elle en était d’ailleurs consciente puisqu’elle a décidé d’incorporer une clause de rachat pour se prémunir de tout préjudice. Or, une mise en danger de son propre patrimoine ne suffit pas à constituer un dommage (cf. supra consid. 4.1), étant précisé que C.________ a été déclarée en faillite le 23 février 2012. Compte tenu de ce qui précède, c’est à raison que le procureur a considéré que les éléments constitutifs de l’infraction d’escroquerie au sens de l’art. 146 CP n’étaient pas réunis. En définitive, il s’agit d’un litige de nature purement civile, portant en particulier sur l’exécution d’un contrat de location et d’entretien.</w:t>
      </w:r>
    </w:p>
    <w:p>
      <w:r>
        <w:rPr>
          <w:b/>
        </w:rPr>
        <w:t>E. 5</w:t>
      </w:r>
    </w:p>
    <w:p>
      <w:r>
        <w:t>Il résulte de ce qui précède que le recours doit être rejeté et l’ordonnance entreprise confirmée. Les prévenus V.________ et D.________, qui ont procédé avec l’assistance d’un défenseur de choix, se sont déterminés sur le recours et ont pris des conclusions, sous suite de frais et dépens. Obtenant gain de cause, ils ont droit chacun à une indemnité pour les dépenses occasionnées par la procédure de recours, à la charge de la recourante (art. 432 al. 1 CPP). Compte tenu des déterminations produites par leurs défenseurs respectifs, cette indemnité sera fixée, pour chacun des deux, à 1’200 fr., correspondant à 4 heures d’activité nécessaire d’avocat au tarif horaire de 300 fr. (art. 26a al. 3 TFIP [tarif des frais de procédure et indemnités en matière pénale du 28 septembre 2010 ; BLV 312.03.1]), montant auquel il convient d’ajouter des débours forfaitaires à</w:t>
      </w:r>
    </w:p>
    <w:p>
      <w:r>
        <w:t>- 21 - concurrence de 2 % des honoraires admis (art. 19 al. 2 TDC [tarif des dépens en matière civile du 23 novembre 2010 ; BLV 270.11.6], applicable par renvoi de l’art. 26a al. 6 TFIP), par 24 fr., plus la TVA au taux de 7,7 %, par 92 fr. 40, soit à 1’317 fr. au total en chiffres arrondis. Les frais de la procédure de recours, constitués en l’espèce de l’émolument d'arrêt, par 2’090 fr. (art. 20 al. 1 TFIP), seront mis à la charge de M.________, qui succombe (art. 428 al. 1 CPP). Par ces motifs, la Chambre des recours pénale prononce : I. Le recours est rejeté. II. L’ordonnance du 23 mai 2022 est confirmée. III. Les frais d’arrêt, par 2’090 fr. (deux mille nonante francs), sont mis à la charge de M.________. IV. Une indemnité de 1’317 fr. (mille trois cent dix-sept francs) est allouée à V.________ pour les dépenses occasionnées par la procédure de recours, à la charge de M.________. V. Une indemnité de 1’317 fr. (mille trois cent dix-sept francs) est allouée à D.________ pour les dépenses occasionnées par la procédure de recours, à la charge de M.________. VI. L’arrêt est exécutoire. La présidente : Le greffier :</w:t>
      </w:r>
    </w:p>
    <w:p>
      <w:r>
        <w:t>- 22 - Du Le présent arrêt, dont la rédaction a été approuvée à huis clos, est notifié, par l'envoi d'une copie complète, à : - Me Jacques Michod, avocat (pour V.________), - Me Robert Fox, avocat (pour D.________), - Me Fabien Hohenauer, avocat (pour M.________),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