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PE15.022128 vom 28. Januar 2016</w:t>
      </w:r>
    </w:p>
    <w:p>
      <w:r>
        <w:t>VD Tribunal cantonal, 2016-01-28, FR</w:t>
      </w:r>
    </w:p>
    <w:p>
      <w:r>
        <w:rPr>
          <w:b/>
        </w:rPr>
        <w:t xml:space="preserve">Quelle: </w:t>
      </w:r>
      <w:r>
        <w:t>https://mcp.opencaselaw.ch/entscheid/vd_gerichte_PE15.022128</w:t>
      </w:r>
    </w:p>
    <w:p>
      <w:r>
        <w:t>FR: VD_GERICHTE PE15.022128 du 28 janvier 2016</w:t>
      </w:r>
    </w:p>
    <w:p>
      <w:r>
        <w:t>IT: VD_GERICHTE PE15.022128 del 28 gennaio 2016</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t>- 4 -</w:t>
      </w:r>
    </w:p>
    <w:p>
      <w:r>
        <w:rPr>
          <w:b/>
        </w:rPr>
        <w:t>E. 1.2</w:t>
      </w:r>
    </w:p>
    <w:p>
      <w:r>
        <w:t>Interjeté dans le délai légal auprès de l’autorité compétente par la partie plaignante qui a qualité pour recourir (art. 382 al. 1 CPP), et dans les formes prescrites (art. 385 al. 1 CPP), le recours est recevable.</w:t>
      </w:r>
    </w:p>
    <w:p>
      <w:r>
        <w:rPr>
          <w:b/>
        </w:rPr>
        <w:t>E. 2</w:t>
      </w:r>
    </w:p>
    <w:p>
      <w:r>
        <w:t>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[Constitution fédérale de la Confédération suisse du 18 avril 1999 ; RS 101] et</w:t>
      </w:r>
    </w:p>
    <w:p>
      <w:r>
        <w:rPr>
          <w:b/>
        </w:rPr>
        <w:t>E. 2.2</w:t>
      </w:r>
    </w:p>
    <w:p>
      <w:r>
        <w:t>La plaignante soutientK.________qu'K.________ se serait rendu coupable de vol. Aux termes de l'art. 139 ch. 1 CP, se rend coupable de vol, celui qui, pour se procurer ou procurer à un tiers un enrichissement</w:t>
      </w:r>
    </w:p>
    <w:p>
      <w:r>
        <w:t>- 5 - illégitime, aura soustrait une chose mobilière appartenant à autrui dans le but de se l'approprier. L'infraction suppose l'existence d'une chose mobilière appartenant à autrui. Une autre personne que l'auteur doit avoir un droit de propriété sur la chose volée. En outre, pour qu'il y ait vol, il faut que l'auteur soustraie la chose à autrui, c'est-à-dire qu'il brise la possession d'autrui pour constituer une nouvelle possession sur la chose. Du point de vue subjectif, pour que l'infraction de vol soit réalisée, il faut que l'auteur ait agi intentionnellement, dans le dessein de s'approprier la chose mobilière appartenant à autrui et dans celui de se procurer ainsi, ou de procurer à autrui, un enrichissement illégitime (cf. art. 139 ch. 1 CP). L'auteur agit intentionnellement s'il veut soustraire une chose mobilière qu'il sait appartenir à autrui. Il agit dans un dessein d'appropriation s'il a pour but d'incorporer la chose à son patrimoine, que ce soit en vue de la conserver ou de l'aliéner. Il agit dans un dessein d'enrichissement illégitime s'il a pour but de tirer lui-même de la chose, ou de permettre à un tiers d'en tirer un profit qui devrait normalement revenir au propriétaire ou au possesseur légitime (TF 6B_311/2013 du 28 mai 2013 consid. 2.3 et 2.4 et réf.). En l'espèce, il ressort des déclarations des parties et des pièces produites que A.D.________ gérait le domaine viticole depuis la mort de son époux. En 2001, elle a passé une convention avec sa fille T.________, son beau-fils K.________ et son beau-frère B.D.________. L'article premier de ladite convention prévoyait que l'exploitation viticole incombait à chacune des parties et que les rapports juridiques étaient soumis au régime de la société simple selon les art. 530 et suivants du Code des obligations (RS 220). Cette convention prévoyait en outre que la société simple reprenait l'ensemble du bilan et l'exploitation commerciale de A.D.________, "à l'exclusion de tous les actifs". Ladite société simple a été dissoute par décision de la justice civile du 15 mai 2007, qui a conféré à K.________, à son épouse et à B.D.________ le pouvoir de continuer l'exploitation du domaine. S'agissant du véhicule agricole litigieux, il n'a</w:t>
      </w:r>
    </w:p>
    <w:p>
      <w:r>
        <w:t>- 6 - pas été vendu. Le prévenu a dit à la police (PV aud. 1) : "Il ne fonctionnait plus et je l'ai mis dans une grange à Puidoux". La police mentionne l'adresse de cette grange dans son rapport d'investigation (P. 4). Ainsi, il est loisible à la plaignante d'aller le rechercher à cet endroit, sous réserve d'autres accords contraires. Il n'y a donc pas d'appropriation et, partant, pas d'infraction à l'art. 139 CP dont les éléments constitutifs ne sont pas réunis.</w:t>
      </w:r>
    </w:p>
    <w:p>
      <w:r>
        <w:rPr>
          <w:b/>
        </w:rPr>
        <w:t>E. 2.3</w:t>
      </w:r>
    </w:p>
    <w:p>
      <w:r>
        <w:t>Il convient encore d'examiner d'office (cf. ATF 115 IV 1 consid. 2a; CREP 5 octobre 2012/742) si les faits allégués dans le plainte de la recourante ne tomberaient pas sous une autre qualification juridique, telle celle de soustraction d'une chose mobilière (art. 141 CP). Se rend coupable de soustraction d'une chose mobilière, au sens de la disposition précitée, celui qui, sans dessein d'appropriation, aura soustrait une chose mobilière à l'ayant droit et lui aura causé par là un préjudice considérable. La notion de soustraction, qui apparaît également dans le contexte du vol, n'a pas exactement la même signification pour l'art. 141 CP. La notion est plus large dans le contexte de l'art. 141 CP et englobe le simple fait d'enlever la chose à l'ayant droit. Elle comprend donc aussi bien la soustraction ("Wegnahme"), au sens de l'art. 139 CP, que l'hypothèse de la dissimulation ("Vorenthalten") de la chose mobilière. Il importe peu que la soustraction soit passagère ou non (CREP 5 octobre 2012/742 et réf.). L'art. 141 CP décrit une infraction intentionnelle. L'élément subjectif doit englober le fait de causer un préjudice considérable. Le dol éventuel suffit (Dupuis/Geller/Monnier/Moreillon/Piguet/Bettex/Stoll [éd.], Petit commentaire du Code pénal, Bâle 2012, n. 10 ad art. 141 CP). Dans le cas présent, il ressort de la décision du Président du Tribunal civil de l'Est vaudois du 15 mai 2007 évoquée ci-dessus que le prévenu pouvait continuer l'exploitation du domaine. Cela suppose la mise</w:t>
      </w:r>
    </w:p>
    <w:p>
      <w:r>
        <w:t>- 7 - à sa disposition et l'utilisation de tous les outils et machines y afférents et donc aussi du chariot à moteur agricole litigieux. En utilisant et en entreposant cet objet comme il l'a fait, K.________ ne l'a pas soustrait à A.D.________ au sens de l'art. 141 CP. En définitive, son comportement ne viole aucune norme pénale.</w:t>
      </w:r>
    </w:p>
    <w:p>
      <w:r>
        <w:rPr>
          <w:b/>
        </w:rPr>
        <w:t>E. 2.4</w:t>
      </w:r>
    </w:p>
    <w:p>
      <w:r>
        <w:t>Au vu des éléments qui précèdent, il apparaît que le litige a trait à la répartition d'objets entre les anciens associés d'une société simple. Il est donc de nature purement civile et c'est à juste titre que le Ministère public a refusé d'entrer en matière.</w:t>
      </w:r>
    </w:p>
    <w:p>
      <w:r>
        <w:rPr>
          <w:b/>
        </w:rPr>
        <w:t>E. 3</w:t>
      </w:r>
    </w:p>
    <w:p>
      <w:r>
        <w:t>Manifestement mal fondé, le recours doit être rejeté sans autre échange d’écritures (art. 390 al. 2 CPP) et l’ordonnance attaquée confirmée. Dès lors que le recours apparaissait d'emblée dénué de chances de succès (art. 136 al. 1 let. b CPP a contrario), le droit à l'assistance judiciaire gratuite pour la procédure de recours n'est pas ouvert et les frais de la procédure de recours, constitués en l’espèce du seul émolument d’arrêt (art. 422 al. 1 CPP), par 770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16 novembre 2015 est confirmée.</w:t>
      </w:r>
    </w:p>
    <w:p>
      <w:r>
        <w:t>- 8 - III. Les frais d'arrêt, par 770 fr. (sept cent septante francs), sont mis à la charge de la recourante. IV. Le présent arrêt est exécutoire. Le président : La greffière : Du Le présent arrêt, dont la rédaction a été approuvée à huis clos, est notifié, par l'envoi d'une copie complète, à : - Mme A.D.________, - M. K.________,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