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PE15.021792 vom 14. September 2016</w:t>
      </w:r>
    </w:p>
    <w:p>
      <w:r>
        <w:t>VD Tribunal cantonal, 2016-09-14, FR</w:t>
      </w:r>
    </w:p>
    <w:p>
      <w:r>
        <w:rPr>
          <w:b/>
        </w:rPr>
        <w:t xml:space="preserve">Quelle: </w:t>
      </w:r>
      <w:r>
        <w:t>https://mcp.opencaselaw.ch/entscheid/vd_gerichte_PE15.021792</w:t>
      </w:r>
    </w:p>
    <w:p>
      <w:r>
        <w:t>FR: VD_GERICHTE PE15.021792 du 14 septembre 2016</w:t>
      </w:r>
    </w:p>
    <w:p>
      <w:r>
        <w:t>IT: VD_GERICHTE PE15.021792 del 14 settembre 2016</w:t>
      </w:r>
    </w:p>
    <w:p>
      <w:pPr>
        <w:pStyle w:val="Heading2"/>
      </w:pPr>
      <w:r>
        <w:t>Erwägungen</w:t>
      </w:r>
    </w:p>
    <w:p>
      <w:r>
        <w:rPr>
          <w:b/>
        </w:rPr>
        <w:t>E. 3.1</w:t>
      </w:r>
    </w:p>
    <w:p>
      <w:r>
        <w:t>Le recourant soutient que les soupçons contre les prévenus seraient suffisants pour justifier l’ouverture d’une instruction pénale pour escroquerie (art. 146 al. 1 CP). Il fait valoir que l’Office des poursuites aurait été trompé sur le montant réel du loyer de l’immeuble propriété du recourant en se fondant uniquement sur les déclarations des prévenus, lesquels n’auraient pas été en mesure de fournir une copie du bail à loyer.</w:t>
      </w:r>
    </w:p>
    <w:p>
      <w:r>
        <w:rPr>
          <w:b/>
        </w:rPr>
        <w:t>E. 3.2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w:t>
      </w:r>
    </w:p>
    <w:p>
      <w:r>
        <w:t>- 5 -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135 IV 76 consid. 5.2 ; TF 6B_117/2015 du 11 février 2016 consid. 2.3.1.1 et les références citées).</w:t>
      </w:r>
    </w:p>
    <w:p>
      <w:r>
        <w:rPr>
          <w:b/>
        </w:rPr>
        <w:t>E. 3.3</w:t>
      </w:r>
    </w:p>
    <w:p>
      <w:r>
        <w:t>En l’espèce, il est clair que les prévenus n’ont pas eu recours à un édifice de mensonges, à des manœuvres frauduleuses ou à une mise en scène, au sens où l’entend la jurisprudence fédérale. En particulier, même si l’on admet qu’ils ont cherché à tromper l’Office des poursuites par des déclarations inexactes, il ne s’agit pas là de mensonges qui seraient l'expression d'une rouerie particulière et qui se recouperaient de manière si subtile que même une victime faisant preuve d'esprit critique se laisserait tromper (ATF 119 IV 28 consid. 3c). Il n’existe par ailleurs aucun rapport de confiance entre l’Office des poursuites et les prévenus, si bien que ceux-ci ne pouvaient tabler sur le fait que leurs déclarations ne feraient l’objet d’aucune vérification. A cet égard, on relèvera que l’Office des poursuites devrait prendre des renseignements auprès du recourant, lequel devait l’informer du montant réel du loyer global pour l’immeuble. C’est d’ailleurs le recourant qui a tardé à renseigner l’office, alors qu’il en avait l’obligation (cf. lettre du 23 février 2014 de l’Office des poursuites du district de Lausanne, P. 5/4). A ce propos, le recourant n’a pas établi ni rendu vraisemblable l’existence de problèmes personnels si graves qu’ils l’auraient empêché d’agir de la sorte. Au vu de ce qui précède, l’éventuelle tromperie qui pourrait être retenue ne présente aucun caractère astucieux. Un élément constitutif faisant défaut, l’escroquerie</w:t>
      </w:r>
    </w:p>
    <w:p>
      <w:r>
        <w:t>- 6 - n’est pas réalisée et c’est à bon droit que le procureur a rendu une ordonnance de non-entrée en matière sur ce point.</w:t>
      </w:r>
    </w:p>
    <w:p>
      <w:r>
        <w:rPr>
          <w:b/>
        </w:rPr>
        <w:t>E. 4.1</w:t>
      </w:r>
    </w:p>
    <w:p>
      <w:r>
        <w:t>Le recourant soutient qu’il y aurait matière à ouvrir une instruction pénale pour suppression de titre (art. 254 CP).</w:t>
      </w:r>
    </w:p>
    <w:p>
      <w:r>
        <w:rPr>
          <w:b/>
        </w:rPr>
        <w:t>E. 4.2</w:t>
      </w:r>
    </w:p>
    <w:p>
      <w:r>
        <w:t>L’art. 254 CP réprime le comportement de celui qui, dans le dessein de porter atteinte aux intérêts pécuniaires ou aux droits d’autrui, ou de se procurer ou de procurer à un tiers un avantage illicite, aura endommagé, détruit, fait disparaître ou soustrait un titre dont il n’avait pas seul le droit de disposer (al. 1). Seules les personnes qui n’ont pas le droit de disposer seules du titre peuvent avoir la qualité d’auteur de l’infraction. Sur ce point, la qualité de propriétaire n’a cependant pas d’influence décisive. En revanche, il est déterminant de savoir qui dispose d’un intérêt à utiliser le titre en tant que moyen de preuve (Dupuis et alii, Petit Commentaire du Code pénal, Bâle 2012, n. 7 ad art. 254 CP, p. 1468, et les références citées).</w:t>
      </w:r>
    </w:p>
    <w:p>
      <w:r>
        <w:rPr>
          <w:b/>
        </w:rPr>
        <w:t>E. 4.3</w:t>
      </w:r>
    </w:p>
    <w:p>
      <w:r>
        <w:t>En l’espèce, le contrat de bail qui n’a pas été produit est l’exemplaire des locataires. Il a toutefois été établi en deux exemplaires, si bien que rien n’empêchait le recourant de produire le sien à l’Office des poursuites, ce qu’il n’a pas fait. Ainsi, les prévenus pouvaient disposer librement de leur propre exemplaire du contrat de bail à loyer, comme l’a relevé à raison le Ministère public. Contrairement à ce qu’avance le recourant, c’était à lui de renseigner au plus tôt l’Office des poursuites. Dans une lettre du 23 février 2014 déjà citée, l’Office des poursuites indique en effet que le « long silence » du recourant ne lui avait pas permis de « clarifier la situation » (P. 5/4). Sur le vu de ce qui précède, l’infraction de suppression de titres n’est pas non plus réalisée. L’ordonnance de non-entrée en matière est donc bien fondée sur ce point également.</w:t>
      </w:r>
    </w:p>
    <w:p>
      <w:r>
        <w:t>- 7 -</w:t>
      </w:r>
    </w:p>
    <w:p>
      <w:r>
        <w:rPr>
          <w:b/>
        </w:rPr>
        <w:t>E. 5</w:t>
      </w:r>
    </w:p>
    <w:p>
      <w:r>
        <w:t>Le recourant s’en prend à la décision du procureur refusant de lui accorder l’assistance judiciaire. Il lui reproche en particulier de ne pas l’avoir relancé pour qu’il produise les pièces établissant sa situation financière.</w:t>
      </w:r>
    </w:p>
    <w:p>
      <w:r>
        <w:rPr>
          <w:b/>
        </w:rPr>
        <w:t>E. 5.1</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w:t>
      </w:r>
    </w:p>
    <w:p>
      <w:r>
        <w:rPr>
          <w:b/>
        </w:rPr>
        <w:t>E. 5.2</w:t>
      </w:r>
    </w:p>
    <w:p>
      <w:r>
        <w:t>En l’espèce, le recourant, qui était assisté lorsqu’il a déposé plainte, devait se rendre compte, en examinant soigneusement la situation, que les perspectives de gagner le procès étaient notablement plus faibles que les risques de le perdre, qu’elles ne pouvaient en tout cas pas être considérées comme sérieuses et que, partant, la cause était dénuée de chances de succès (TF 1B_23/2013 du 15 avril 2013 consid. 2.1). Peu importe dès lors que le Ministère public n’ait pas invité expressément le recourant à produire les documents à même de prouver son indigence. L’ordonnance est justifiée sur ce point également.</w:t>
      </w:r>
    </w:p>
    <w:p>
      <w:r>
        <w:rPr>
          <w:b/>
        </w:rPr>
        <w:t>E. 6</w:t>
      </w:r>
    </w:p>
    <w:p>
      <w:r>
        <w:t>En définitive, le recours, manifestement mal fondé, doit être rejeté sans autres échanges d’écritures (art. 390 al. 2 CPP) et l’ordonnance de non-entrée en matière du 22 juillet 2016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w:t>
      </w:r>
    </w:p>
    <w:p>
      <w:r>
        <w:t>- 8 - Par ces motifs, la Chambre des recours pénale prononce : I. Le recours est rejeté. II. L’ordonnance du 22 juillet 2016 est confirmée. III. Les frais d’arrêt, par 770 fr. (sept cent septante francs), sont mis à la charge de P.________. IV. L’arrêt est exécutoire. Le président : Le greffier : Du Le présent arrêt, dont la rédaction a été approuvée à huis clos, est notifié, par l'envoi d'une copie complète, à : - Me Philippe Chaulmontet, avocat (pour P.________), - M. Q.________, - Mme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