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PE15.021177 vom 9. November 2017</w:t>
      </w:r>
    </w:p>
    <w:p>
      <w:r>
        <w:t>VD Tribunal cantonal, 2017-11-09, FR</w:t>
      </w:r>
    </w:p>
    <w:p>
      <w:r>
        <w:rPr>
          <w:b/>
        </w:rPr>
        <w:t xml:space="preserve">Quelle: </w:t>
      </w:r>
      <w:r>
        <w:t>https://mcp.opencaselaw.ch/entscheid/vd_gerichte_PE15.021177</w:t>
      </w:r>
    </w:p>
    <w:p>
      <w:r>
        <w:t>FR: VD_GERICHTE PE15.021177 du 9 novembre 2017</w:t>
      </w:r>
    </w:p>
    <w:p>
      <w:r>
        <w:t>IT: VD_GERICHTE PE15.021177 del 9 novembre 2017</w:t>
      </w:r>
    </w:p>
    <w:p>
      <w:pPr>
        <w:pStyle w:val="Heading2"/>
      </w:pPr>
      <w:r>
        <w:t>Erwägungen</w:t>
      </w:r>
    </w:p>
    <w:p>
      <w:r>
        <w:rPr>
          <w:b/>
        </w:rPr>
        <w:t>E. 38</w:t>
      </w:r>
    </w:p>
    <w:p>
      <w:r>
        <w:t>consid. 2a). 4.3 La thèse de l'appelant ne résiste pas à l'examen. Comme l'a retenu le premier juge aux considérants duquel il peut être renvoyé (jugement attaqué, p. 17), le prévenu admet quoi qu'il en soit avoir été contrarié par le comportement du chien du plaignant et avoir été agressif avec ce dernier pour ce motif. D'ailleurs l'ensemble des faits retenus à l'encontre de l'appelant démontre sa propension à insulter et à s'en prendre aux tiers. En outre, la version selon laquelle il aurait mordu le doigt du plaignant qui le lui avait mis dans la bouche est simplement ridicule. Il faut donc s'en tenir aux faits retenus en première instance. 5. S’agissant encore des faits qui lui sont reprochés par S.________, l'appelant fait valoir un état de légitime défense excusable au sens de l'art. 16 al. 2 CP.</w:t>
      </w:r>
    </w:p>
    <w:p>
      <w:r>
        <w:t>- 13 - 5.1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5.2 L'appelant s'écarte en vain de l'état de fait retenu en plaidant la légitime défense, même excessive ou excusable, puisqu'il est l'auteur de l'attaque ayant empoigné le plaignant, qui s'est borné à le repousser (jugement attaqué, pp. 14 et 17). 6. C'est en vain également que l'appelant conteste l'allocation des conclusions civiles à S.________, les faits retenus permettant de considérer que les lunettes du plaignant ont été cassées durant</w:t>
      </w:r>
    </w:p>
    <w:p>
      <w:r>
        <w:t>- 14 - l'altercation. Le devis produit est suffisant sur le plan probatoire, l'existence du dommage découlant des faits retenus. 7. 7.1 L'appelant fait encore valoir qu'il aurait eu des raisons de s'en prendre aux plaignants des cas 3, 3bis et 4 de l'acte d'accusation (respectivement cas 2.c, 2.d et 2.e ci-dessus) et que le premier juge aurait dû prendre en considération le fait que l’un d’entre eux avait tenté de le faire placer à des fins d'assistance et qu'il s'était défendu pour faire valoir ses droits. 7.2 On ne discerne pas le rapport entre les faits invoqués par l'appelant et ceux retenus dans le jugement, les propos insultants et diffamatoires propagés à l'encontre des trois plaignants visés n'étant en rien justifiés ou même expliqués par une éventuelle procédure antérieure de placement à des fins d'assistance, à supposer vraies les affirmations de l'appelant. A défaut de porter sur des faits pertinents, l'appel est sur ce point irrecevable. 8. L'appelant conteste ensuite sa condamnation pour violence ou menace contre les autorités et les fonctionnaires dans le cas 1 de l'acte d'accusation (cas 2.a ci-dessus). Il invoque une violation de l'art. 285 ch. 1 CP. 8.1 L'art. 285 ch.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8.2 C'est en vain que l'appelant plaide notamment que les voies de fait ont été commises après la notification du mandat de comparution, car il ne s'agit pas du seul acte commis en violation de l'art. 285 CP. En effet, l'appelant a également menacé de mort les agents (jugement attaqué, pp. 13 et 16) et ce comportement, intervenu lors de la</w:t>
      </w:r>
    </w:p>
    <w:p>
      <w:r>
        <w:t>- 15 - notification du mandat, réalise à lui seul tous les éléments constitutifs de l'art. 285 CP. De toute manière, les voies de fait sont également intervenues dans le cadre de la notification du mandat, alors que le prévenu refermait violement la porte de son véhicule sur le bras de l'agent. Il ne s'agit nullement d'un fait postérieur, mais d'un acte qui s'est produit durant l'intervention de la police. 9. L'appelant conteste également sa condamnation pour tentative d'extorsion et chantage. Il invoque également une application erronée de l'art. 156 al. 1 CP. 9.1 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et les références citées). 9.2 En l'espèce, l'appelant, après avoir averti le plaignant que « les putes font toujours une vidéo des clients pour se protéger au cas où » lui a demandé 100'000 fr. pour classer l'affaire. Visant un homme politique durant une période d'élections et alors même que le prévenu avait déjà</w:t>
      </w:r>
    </w:p>
    <w:p>
      <w:r>
        <w:t>- 16 - répandu des propos attentatoires à l'honneur au sujet de ce même plaignant sur des affiches électorales, la démarche constituait bien la menace d'un dommage sérieux au sens de l'art. 156 CP. Le plaignant était en effet légitimé à craindre que le prévenu cherche à salir sa réputation durant la campagne électorale. Le fait que le plaignant n'ait pas donné suite à la demande d'argent n'a uniquement comme conséquence que l'infraction est restée à sa forme tentée. Subjectivement, l'appelant a agi intentionnellement, ce qui est clairement démontré par le contenu de la lettre incriminée (P. 8/9), qui comporte la phrase suivante « tu peux déposer plainte pour chantage ». La condamnation pour tentative d'extorsion doit ainsi être confirmée. 10. L'appelant conteste encore la peine, qu'il juge trop sévère et d'un genre inapproprié, une peine pécuniaire assortie d’un sursis étant à ses yeux suffisante pour le sanctionner. 10.1 10.1.1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- 17 -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10.1.2 Aux termes de l'art. 41 al. 1 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 (cf. art. 2 al. 2 CP ; TF 6B_887/2017 du 8 mars 2018 consid. 4.1 ; 6B_341/2017 du 23 janvier 2018 consid. 1.1).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ou une peine de travail d'intérêt général seraient d'emblée inadaptées, l'autorité peut prononcer une peine</w:t>
      </w:r>
    </w:p>
    <w:p>
      <w:r>
        <w:t>- 18 - privative de liberté de courte durée (TF 6B_887/2017 du 8 mars 2018 consid. 4.2 ; 6B_341/2017 du 23 janvier 2018 consid. 1.1).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 TF 6B_887/2017 du 8 mars 2018 consid. 4.2 ; 6B_372/2017 du 15 novembre 2017 consid. 1.1). 10.1.3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t>- 19 - 10.2 En l’espèce, l'appelant a déjà été condamné pour violence ou menace contre les autorités et les fonctionnaires et a gravement récidivé par un comportement ordurier et répété. Il ne montre aucune prise de conscience. Au contraire, il persiste dans ses propos attentatoires à l'honneur (cf. lettre à la CAPE du 27 décembre 2017 [P. 65] ; courriers adressés à la Municipalité de […] [P. 88/1 à 88/3]). Le prononcé d’une courte peine privative de liberté ferme se justifie donc pour des motifs de prévention spéciale. Pour le surplus, s’agissant de la quotité de la peine, il peut être renvoyé à la motivation du premier juge, qui est complète et convaincante (jugement attaqué pp. 20-21 ; cf. art. 82 al. 4 CPP). La peine privative de liberté ferme de trois mois prononcée par le Tribunal de police s’avère ainsi adéquate et doit être confirmée. 11. Le recourant se plaint en dernier lieu de la révocation du sursis antérieur. 11.1 Selon l'art. 46 al. 1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1er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w:t>
      </w:r>
    </w:p>
    <w:p>
      <w:r>
        <w:t>- 20 -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6B_105/2016 du 11 octobre 2016 consid. 1.1 ; 6B_1165/2013 du 1er mai 2014 consid. 2.2 et les références citées). 11.2 En l’occurrence, l’appelant a récidivé durant le délai d’épreuve qui lui avait été octroyé le 13 janvier 2012 par le Ministère public du canton de Fribourg. Vu l’absence totale de prise de conscience de l’appelant, qui persiste dans son comportement, le pronostic quant à son comportement futur apparaît clairement défavorable, l’exécution de la peine privative de liberté de trois mois n’apparaissant pas à elle seule suffisante à le détourner de la récidive. Les conditions de l’art. 46 CP sont par conséquent réunies, de sorte que la révocation du sursis accordé le 13 janvier 2012 doit être confirmée.</w:t>
      </w:r>
    </w:p>
    <w:p>
      <w:r>
        <w:t>- 21 - 12. En définitive, l'appel doit être rejeté et le jugement attaqué intégralement confirmé. Sur la base de la liste d’opérations qu’il a produite, dont il n’y a pas lieu de s’écarter, une indemnité pour la procédure d’appel d'un montant de 2'970 fr. 70, TVA et débours inclus, sera allouée à Me Benjamin Schwab. Vu l'issue de la cause, les frais de la procédure d'appel, par 5'130 fr. 70, constitués en l’espèce de l'émolument du présent arrêt, par 2’160 fr. (art. 21 al. 1 et 2 TFIP [Tarif des frais de procédure et indemnités en matière pénale du 28 septembre 2010 ; RSV 312.03.1]), et de l’indemnité allouée au défenseur d’office, seront mis à la charge de H.________, qui succombe (art. 428 al. 1 CPP). H.________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