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PE15.021173 vom 27. März 2017</w:t>
      </w:r>
    </w:p>
    <w:p>
      <w:r>
        <w:t>VD Tribunal cantonal, 2017-03-27, FR</w:t>
      </w:r>
    </w:p>
    <w:p>
      <w:r>
        <w:rPr>
          <w:b/>
        </w:rPr>
        <w:t xml:space="preserve">Quelle: </w:t>
      </w:r>
      <w:r>
        <w:t>https://mcp.opencaselaw.ch/entscheid/vd_gerichte_PE15.021173</w:t>
      </w:r>
    </w:p>
    <w:p>
      <w:r>
        <w:t>FR: VD_GERICHTE PE15.021173 du 27 mars 2017</w:t>
      </w:r>
    </w:p>
    <w:p>
      <w:r>
        <w:t>IT: VD_GERICHTE PE15.021173 del 27 marzo 2017</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w:t>
      </w:r>
    </w:p>
    <w:p>
      <w:r>
        <w:rPr>
          <w:b/>
        </w:rPr>
        <w:t>E. 1.2</w:t>
      </w:r>
    </w:p>
    <w:p>
      <w:r>
        <w:t>Satisfaisant aux conditions de forme posées par l’art. 385 al. 1 CPP et interjeté dans le délai légal auprès de l’autorité compétente par le prévenu, qui a qualité afin de recourir pour contester le rejet de ses conclusions tendant à l’allocation d'une indemnité, le recours est recevable.</w:t>
      </w:r>
    </w:p>
    <w:p>
      <w:r>
        <w:rPr>
          <w:b/>
        </w:rPr>
        <w:t>E. 1.3</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accessoires d'une décision, les frais, les indemnités et les confiscations (FF 2006 pp. 1057 ss, spéc. p. 1297). En l'espèce, le recourant conclut à l'allocation d’un montant de 8'769 fr. 15 à titre d’indemnité au sens de l'art. 429 al. 1 let. a CPP. Excédant 5'000 fr., la valeur litigieuse place le recours dans la compétence de la Chambre des recours pénale dans sa composition ordinaire à trois juges (art. 395 let. b CPP).</w:t>
      </w:r>
    </w:p>
    <w:p>
      <w:r>
        <w:t>- 5 -</w:t>
      </w:r>
    </w:p>
    <w:p>
      <w:r>
        <w:rPr>
          <w:b/>
        </w:rPr>
        <w:t>E. 2.1</w:t>
      </w:r>
    </w:p>
    <w:p>
      <w:r>
        <w:t>Aux termes de l'art. 429 al. 1 let. a CPP, le prévenu qui est acquitté totalement ou en partie ou qui bénéficie d'une ordonnance de classement a droit à une indemnité pour les dépenses occasionnées par l'exercice raisonnable de ses droits de procédure. L'indemnité ici visée correspond en particulier aux dépenses assumées par le prévenu libéré pour un avocat de choix (ATF 139 IV 241 consid. 1 p. 242).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peut par exemple être le cas lorsque la procédure fait immédiatement l'objet d'un classement après une première audition (cf. ATF 138 IV 197 consid. 2.3.5 p. 203 s.; TF 6B_387/2013 du 8 juillet 2013 consid. 2.1 non publié aux ATF 139 IV 241).</w:t>
      </w:r>
    </w:p>
    <w:p>
      <w:r>
        <w:rPr>
          <w:b/>
        </w:rPr>
        <w:t>E. 2.2</w:t>
      </w:r>
    </w:p>
    <w:p>
      <w:r>
        <w:t>En l’espèce, même si l’infraction à l’art. 23 LCD est un délit et non une simple contravention, le recourant reconnaît que les faits objet du classement ne présentaient aucune complexité particulière. De plus, si la procureure a ouvert formellement une instruction pénale pour les diverses infractions qui ont abouti à un acte d’accusation, il n’en va en revanche pas de même des infractions à la LCD visées par l’ordonnance de classement. En effet, après avoir entendu la partie plaignante le 10 mai 2016 afin d’établir l’époque des faits incriminés, la procureure s’est</w:t>
      </w:r>
    </w:p>
    <w:p>
      <w:r>
        <w:t>- 6 - rapidement rendue compte que la plainte était tardive sur ce point et a en conséquence renoncé à entendre le prévenu sur ces faits. Dans ces conditions, le recours à un avocat ne constituait pas un exercice raisonnable des droits de procédure s’agissant de l’infraction à la LCD (cf. ATF 138 IV 197 consid. 2.3.5 ; TF 6B_403/2015 du 25 février 2016 consid. 2.1). Le recourant fait valoir qu’il était prévenu d’autres infractions, pour lesquelles il a été mis en accusation, qu’outre la présente cause, il est partie à un litige civil et qu’il est l’objet d’instructions conduites par les services de la santé publique des cantons de Vaud et Fribourg et que la partie plaignante était pour sa part assistée d’un avocat. Ces circonstances ne changent toutefois rien au constat selon lequel le recours à un avocat, en ce qui concerne les faits visés par l’ordonnance de classement, ne procédait pas d’un exercice raisonnable des droits de procédure. Il en va de même du fait que le recourant n’est pas de langue maternelle française, l’intéressé ayant été entendu par le Ministère sans le concours d’un interprète (PV aud. 4). Par ailleurs, et contrairement à ce que semble soutenir le recourant, le fait que les frais de procédure, s’agissant des faits objet du classement, aient été intégralement laissés à la charge de l’Etat n’entraîne pas automatiquement l’allocation au prévenu libéré d’une indemnité au sens de l’art. 429 al. 1 let. a CPP, lorsque, comme dans le cas présent, le recours à un avocat ne procède pas d’un exercice raisonnable des droits de procédure. Les conditions de l’art. 429 al. 1 let. a CPP n’étant pas réunies, c’est à juste titre que la procureure a refusé d’allouer au recourant une indemnité au sens de cette disposition.</w:t>
      </w:r>
    </w:p>
    <w:p>
      <w:r>
        <w:rPr>
          <w:b/>
        </w:rPr>
        <w:t>E. 3</w:t>
      </w:r>
    </w:p>
    <w:p>
      <w:r>
        <w:t>Il résulte de ce qui précède que le recours doit être rejeté et l’ordonnance de classement du 27 février 2017 confirmée.</w:t>
      </w:r>
    </w:p>
    <w:p>
      <w:r>
        <w:t>- 7 - Les frais de la procédure de recours, constitués en l’espèce de l’émolument d'arrêt,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de classement du 27 février 2017 est confirmée. III. Les frais d’arrêt, par 660 (six cent soixante francs), sont mis à la charge de F.________. IV. L’arrêt est exécutoire. Le président : Le greffier : Du Le présent arrêt, dont la rédaction a été approuvée à huis clos, est notifié, par l'envoi d'une copie complète, à : - Me Alexandre Curchod, avocat (pour F.________), - Me Laurent Maire, avocat (pour V.________ Sàrl et T.________), - Ministère public central, et communiqué à : - Mme la Procureure de l’arrondissement de Lausanne, - SECO, - Service de la population (F.________, [...]),</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