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PE15.021096 vom 18. Dezember 2015</w:t>
      </w:r>
    </w:p>
    <w:p>
      <w:r>
        <w:t>VD Tribunal cantonal, 2015-12-18, FR</w:t>
      </w:r>
    </w:p>
    <w:p>
      <w:r>
        <w:rPr>
          <w:b/>
        </w:rPr>
        <w:t xml:space="preserve">Quelle: </w:t>
      </w:r>
      <w:r>
        <w:t>https://mcp.opencaselaw.ch/entscheid/vd_gerichte_PE15.021096</w:t>
      </w:r>
    </w:p>
    <w:p>
      <w:r>
        <w:t>FR: VD_GERICHTE PE15.021096 du 18 décembre 2015</w:t>
      </w:r>
    </w:p>
    <w:p>
      <w:r>
        <w:t>IT: VD_GERICHTE PE15.021096 del 18 dicembre 2015</w:t>
      </w:r>
    </w:p>
    <w:p>
      <w:pPr>
        <w:pStyle w:val="Heading2"/>
      </w:pPr>
      <w:r>
        <w:t>Volltext</w:t>
      </w:r>
    </w:p>
    <w:p>
      <w:r>
        <w:t>TRIBUNAL CANTONAL 854 PE15.021096-DTE CHAMBRE DE S RECO URS PEN ALE __________________________________________ Arrêt du 18 décembre 2015 __________________ Composition : M. ABRECHT, président MM. Meylan et Krieger, juges Greffier : M. Magnin ***** Art. 310 CPP Statuant sur le recours interjeté le 3 novembre 2015 par M.________ SA contre l’ordonnance de non-entrée en matière rendue le 23 octobre 2015 par le Ministère public de l’arrondissement du Nord vaudois dans la cause n° PE15.021096-DTE, la Chambre des recours pénale considère : En fait : A. Le 12 octobre 2015, F.H.________, agissant en qualité d’administrateur de la société anonyme M.________ SA, a déposé une plainte pénale, reçue le 20 octobre 2015 par le Ministère public de 351</w:t>
      </w:r>
    </w:p>
    <w:p>
      <w:r>
        <w:t>- 2 - l’arrondissement du Nord vaudois, contre son fils B.H.________ pour vol et abus de confiance. Il est reproché à ce dernier de ne pas avoir, dans le courant du mois de septembre 2014, soit peu avant de quitter son emploi au sein de l’entreprise précitée, restitué le prix de vente de 22'500 fr. du véhicule Audi A5 qu’il avait été chargé de vendre pour le compte de celle-ci. Il lui est également reproché d’avoir, dans le courant du mois d’avril 2015, dérobé le véhicule Mini Cooper appartenant à la société M.________ SA. B. Par ordonnance du 23 octobre 2015, le Ministère public a refusé d’entrer en matière sur la plainte de M.________ SA (I) et a laissé les frais à la charge de l’Etat (II). A l’appui de son ordonnance, le Procureur a considéré, en appliquant le principe de la transparence, que la partie plaignante, à savoir une société anonyme dont l’administrateur unique était le père de la personne visée par la plainte, était un proche et que, par conséquent, les infractions reprochées n’étant poursuivies que sur plainte, la plainte du 12 octobre 2015 était tardive. Il a en outre, conformément au principe de la subsidiarité du droit pénal, estimé que les règles de droit civil étaient suffisantes pour permettre à la société M.________ SA de récupérer ses biens. C. Par acte du 3 novembre 2015, M.________ SA a recouru auprès de la Chambre des recours pénale contre cette ordonnance, en concluant, avec suite de frais et dépens, principalement à sa réforme et subsidiairement à son annulation, la cause étant renvoyée au Ministère public afin qu’il procède dans le sens des considérants. Il n’a pas été ordonné d’échanges d’écritures. En d roit :</w:t>
      </w:r>
    </w:p>
    <w:p>
      <w:r>
        <w:t>- 3 - 1.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1.2 Interjeté dans le délai légal auprès de l’autorité compétente par la partie plaignante qui a qualité pour recourir (art. 382 al. 1 CPP), le recours est recevable. 2.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consid. 2.1 du 5 avril 2012 ; TF 1B_67/2012 consid. 2.2 du 29 mai 2012).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 cit., n. 9 ad art. 310 CPP ; CREP 23 novembre 2011/517 consid. 2a), ou</w:t>
      </w:r>
    </w:p>
    <w:p>
      <w:r>
        <w:t>- 4 -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 ce n’est que si aucun acte d’enquête raisonnable ne paraît pouvoir amener des éléments utiles qu’il peut rendre une ordonnance de non-entrée en matière (Cornu, op. cit., n. 9 ad art. 310 CPP ; TF 1B_67/2012 du 29 mai 2012 consid. 3.2 ; CREP 23 novembre 2011/517 consid. 2a). En cas de doute sur la possibilité d’apporter ultérieurement la preuve des faits en question, la non-entrée en matière est exclue (Cornu, op. cit., n. 9 ad art. 310 CPP ; Landshut, in : Donatsch/Hansjakob/ Lieber [éd.], Kommentar zur Schweizerischen Strafprozessordnung, 2e éd., Zurich/Bâle 2014, n. 5 ad art. 310 CPP ; Message du Conseil fédéral relatif à l’unification du droit de la procédure pénale du 21 décembre 2005, FF 2006 pp. 1057 ss, spéc. 1248 ; CREP 23 novembre 2011/517 consid. 2a).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En effet, il ne se justifie pas d’ouvrir une instruction pénale (art. 309 CPP) qui devra être close par une ordonnance de classement dans la mesure où une condamnation apparaît très vraisemblablement exclue (cf. ATF 138 IV 86 consid. 4.1.1 ; TF 1B_272/2011 du 22 mars 2012 consid. 3.1.1). 3. 3.1 La recourante soutient que le principe de la transparence ne serait en l’espèce pas applicable et que la personne visée par sa plainte ne pourrait ainsi pas être considérée comme un proche vis-à-vis d’elle, de sorte que les infractions alléguées se poursuivraient d’office, rendant l’argument du Ministère public relatif au dépôt de plainte tardif inapplicable.</w:t>
      </w:r>
    </w:p>
    <w:p>
      <w:r>
        <w:t>- 5 - 3.2 L’art. 620 CO (Code des obligations du 30 mars 1911 ; RS 220) prévoit que la société anonyme est celle qui se forme sous une raison sociale, dont le capital-actions est déterminé à l’avance, divisé en actions, et dont les dettes ne sont garanties que par l’actif social (al. 1). Les actionnaires ne sont tenus que des prestations statutaires et ne répondent pas personnellement des dettes sociales (al. 2). Le principe de la transparence (Durchgriff) vise à protéger les créanciers floués qui se verraient indûment opposer la dualité de personnes juridiques constituant en réalité une seule et même entité.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 319 consid. 5a/aa et les références citées ; cf. ATF 132 II 489 consid. 3.2 ; ATF 128 Il 329 consid. 2.4 ; TF 4A_58/2011 du 17 juin 2011 consid. 2.4). Ainsi, l’indépendance juridique entre l’actionnaire unique et la société anonyme ne peut pas être invoquée dans un but qui ne mérite pas la protection de la loi, comme par exemple pour éluder un contrat (ATF 113 II 31 consid. 2c) ou une prohibition de concurrence ou encore pour contourner une interdiction (TF 4A_384/2008 du 9 décembre 2008 consid. 4.1). Ainsi, le Tribunal fédéral n’a pas laissé une liberté illimitée aux actionnaires uniques. Il a rappelé que, s’agissant d’une société immobilière sous forme d’« Einmanngesellschaft », soit de société unipersonnelle, il y avait lieu d’opposer à la société les connaissances de l’actionnaire unique (ATF 128 II 329 consid. 2.4). En outre, la Cour de céans a considéré que l’exception du « Durchgriff » doit le rester, mais la</w:t>
      </w:r>
    </w:p>
    <w:p>
      <w:r>
        <w:t>- 6 - jurisprudence admet que, dans certains cas, l’actionnaire doit se voir opposer certaines connaissances et vice-versa (CREP 26 juin 2015/437). 3.3 Il ressort de l’extrait du registre du commerce au dossier (P. 6) que F.H.________ est l’actionnaire et l’administrateur unique, avec signature individuelle, de la partie plaignante, soit de la société M.________ SA. Le capital-actions de cette dernière a été entièrement libéré au moyen d’actions nominatives avec restrictions de transmissibilité. Il est également établi que le prénommé est le père de B.H.________ et que celui-ci a travaillé pour le compte de la société, soit sous les ordres de son père, par le passé. De plus, de par sa position dans la société, F.H.________ a une maîtrise totale de celle-ci et l’entière connaissance de ce qui s’y passe, de sorte qu’il y a lieu de considérer qu’il existe en réalité une identité de personnes. Il est par conséquent légitime d’opposer à la société M.________ SA la relation de proche qui existe entre le père et le fils. Dans le cas contraire, cela reviendrait à favoriser les « Einmanngesellschaften » (sociétés unipersonnelles) au détriment des personnes individuelles, ce que le législateur ne saurait avoir voulu dans le cadre de l’art. 110 al. 1 CP. Compte tenu de ce qui précède, la plainte datée du 12 octobre 2015 visait bel et bien un proche au sens de la disposition précitée. Les infractions d’abus de confiance et de vol se poursuivent donc en l’espèce uniquement sur plainte (art. 138 ch. 1 al. 4 et 139 ch. 4 CP), de sorte que celle-ci, reçue en date du 20 octobre 2015 par le Ministère public, soit plus de trois mois après la survenance des derniers faits reprochés à B.H.________, est manifestement tardive, conformément à l’art. 31 CP. 4. Dès lors que le premier motif justifiant l’ordonnance de non- entrée en matière entreprise a été confirmé, il n’y a pas lieu d’examiner le second grief invoqué par le recourant, relatif au principe de la subsidiarité du droit pénal.</w:t>
      </w:r>
    </w:p>
    <w:p>
      <w:r>
        <w:t>- 7 - 5. 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 M.________ SA, qui succombe (art. 428 al. 1 CPP). Par ces motifs, la Chambre des recours pénale prononce : I. Le recours est rejeté. II. L’ordonnance du 23 octobre 2015 est confirmée. III. Les frais d’arrêt, par 660 fr. (six cent soixante francs), sont mis à la charge de M.________ SA. IV. Le présent arrêt est exécutoire. Le président : Le greffier : Du Le présent arrêt, dont la rédaction a été approuvée à huis clos, est notifié, par l'envoi d'une copie complète, à : - Me Pierre-Olivier Wellauer, avocat (pour M.________ SA), - Ministère public central,</w:t>
      </w:r>
    </w:p>
    <w:p>
      <w:r>
        <w:t>- 8 -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