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PE15.021024 vom 12. Januar 2018</w:t>
      </w:r>
    </w:p>
    <w:p>
      <w:r>
        <w:t>VD Tribunal cantonal, 2018-01-12, FR</w:t>
      </w:r>
    </w:p>
    <w:p>
      <w:r>
        <w:rPr>
          <w:b/>
        </w:rPr>
        <w:t xml:space="preserve">Quelle: </w:t>
      </w:r>
      <w:r>
        <w:t>https://mcp.opencaselaw.ch/entscheid/vd_gerichte_PE15.021024</w:t>
      </w:r>
    </w:p>
    <w:p>
      <w:r>
        <w:t>FR: VD_GERICHTE PE15.021024 du 12 janvier 2018</w:t>
      </w:r>
    </w:p>
    <w:p>
      <w:r>
        <w:t>IT: VD_GERICHTE PE15.021024 del 12 gennaio 2018</w:t>
      </w:r>
    </w:p>
    <w:p>
      <w:pPr>
        <w:pStyle w:val="Heading2"/>
      </w:pPr>
      <w:r>
        <w:t>Erwägungen</w:t>
      </w:r>
    </w:p>
    <w:p>
      <w:r>
        <w:rPr>
          <w:b/>
        </w:rPr>
        <w:t>E. 4</w:t>
      </w:r>
    </w:p>
    <w:p>
      <w:r>
        <w:t>Au vu de ce qui précède, l’appel doit être rejeté et le jugement rendu par la Cour de céans le 22 mai 2018 modifié dans le sens du considérant qui précède. Vu l’issue de la cause, les frais de la présente procédure d’appel, constitués en l’espèce de l’émolument d’arrêt, par 660 fr. (art. 21 al. 1 TFIP), seront intégralement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