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PE15.020976 vom 19. Februar 2021</w:t>
      </w:r>
    </w:p>
    <w:p>
      <w:r>
        <w:t>VD Tribunal cantonal, 2021-02-19, FR</w:t>
      </w:r>
    </w:p>
    <w:p>
      <w:r>
        <w:rPr>
          <w:b/>
        </w:rPr>
        <w:t xml:space="preserve">Quelle: </w:t>
      </w:r>
      <w:r>
        <w:t>https://mcp.opencaselaw.ch/entscheid/vd_gerichte_PE15.020976</w:t>
      </w:r>
    </w:p>
    <w:p>
      <w:r>
        <w:t>FR: VD_GERICHTE PE15.020976 du 19 février 2021</w:t>
      </w:r>
    </w:p>
    <w:p>
      <w:r>
        <w:t>IT: VD_GERICHTE PE15.020976 del 19 febbraio 2021</w:t>
      </w:r>
    </w:p>
    <w:p>
      <w:pPr>
        <w:pStyle w:val="Heading2"/>
      </w:pPr>
      <w:r>
        <w:t>Erwägungen</w:t>
      </w:r>
    </w:p>
    <w:p>
      <w:r>
        <w:rPr>
          <w:b/>
        </w:rPr>
        <w:t>E. 17</w:t>
      </w:r>
    </w:p>
    <w:p>
      <w:r>
        <w:t>consid. 3b). La qualité de gérant suppose un degré d'indépendance suffisant et un pouvoir de disposition autonome sur les biens administrés. Ce pouvoir peut aussi bien se manifester par la passation d'actes juridiques que par la défense, au plan interne, d'intérêts patrimoniaux, ou encore par des actes matériels, l'essentiel étant que le gérant se trouve au bénéfice d'un pouvoir de disposition autonome sur tout ou partie des intérêts pécuniaires d'autrui, sur les moyens de production ou le personnel d'une entreprise (ATF 123 IV 17 consid. 3b). Il est admis en règle générale que cette définition s'applique au directeur, gérant ou membre du comité d'une société coopérative (TF 6S.187/2004 du 18 février 2005 consid. 3.1 ; Dupuis et al. [éd.], Petit Commentaire du Code pénal, Bâle 2017, n. 11 ad art. 158 CP). Le comportement délictueux visé à l'art. 158 CP n'est pas décrit par le texte légal. Il consiste à violer les devoirs inhérents à la qualité de gérant. Le gérant sera ainsi punissable s'il transgresse – par action ou par omission – les obligations spécifiques qui lui incombent en vertu de son devoir de gérer et de protéger les intérêts pécuniaires d'une tierce personne. Savoir s'il y a violation de telles obligations implique de déterminer, au préalable et pour chaque situation particulière, le contenu spécifique des devoirs incombant au gérant. Ces devoirs s'examinent au regard des dispositions légales et contractuelles applicables, des éventuels statuts, règlements internes, décisions de l'assemblée générale, buts de la société et usages spécifiques de la branche (TF 6B_233/2013 du 3 juin 2013 consid. 3.2 ; TF 6B_446/2010 du 14 octobre 2010 consid. 8.4.1).</w:t>
      </w:r>
    </w:p>
    <w:p>
      <w:r>
        <w:t>- 20 - La notion de « dommage » au sens de cette disposition doit être comprise comme pour les autres infractions contre le patrimoine, en particulier l'escroquerie (ATF 122 IV 279 consid. 2a). Ainsi, le dommage est une lésion du patrimoine sous la forme d'une diminution de l'actif, d'une augmentation du passif, d'une non-augmentation de l'actif ou d'une non- diminution du passif, mais aussi d'une mise en danger de celui-ci telle qu'elle a pour effet d'en diminuer la valeur du point de vue économique (ATF 129 IV 124 consid. 3.1 ; ATF 123 IV 17 consid. 3d). Un dommage temporaire ou provisoire est suffisant (ATF 122 IV 279 consid. 2a ; TF 6B_1054/2010 du 16 juin 2011 consid. 2.2.1). Il n'est pas nécessaire que le dommage corresponde à l'enrichissement de l'auteur, ni qu'il soit chiffré; il suffit qu'il soit certain (TF 6B_967/2013 du 21 février 2014 consid. 3.3 ; TF 6B_986/2008 du 20 avril 2009 consid. 4.1). La gestion déloyale est une infraction intentionnelle. La conscience et la volonté de l'auteur doivent englober la qualité de gérant, la violation du devoir de gestion et le dommage (TF 6B_223/2010 du 13 janvier 2011 consid. 3.3.3). Le dol éventuel suffit; vu l'imprécision des éléments constitutifs objectifs de l'infraction, la jurisprudence se montre toutefois restrictive, soulignant que le dol éventuel doit être strictement caractérisé (ATF 123 IV 17 consid. 3e). Le dessein d'enrichissement illégitime n'est pas requis, mais constitue une circonstance aggravante. 4.2.2 Aux termes de l’art. 251 ch. 1 CP,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sera puni d'une peine privative de liberté de cinq ans au plus ou d'une peine pécuniaire. Sont notamment des titres tous les écrits destinés et propres à prouver un fait ayant une portée juridique (cf. art. 110 ch. 4 CP). L'art. 251</w:t>
      </w:r>
    </w:p>
    <w:p>
      <w:r>
        <w:t>- 21 - CP vise non seulement le faux matériel, qui consiste dans la fabrication d'un titre faux ou la falsification d'un titre, mais également le faux intellectuel, soit la constatation d'un fait inexact, en ce sens que la déclaration contenue dans le titre ne correspond pas à la réalité. La comptabilité commerciale, avec ses diverses composantes (pièces justificatives, livres, extraits de compte, bilans ou comptes de résultat) est, en vertu de la loi (art. 957 ss CO), propre et destinée à prouver la véracité de la situation et des opérations qu'elle présente (ATF 133 IV 303 consid. 4.2 non publié; ATF 133 IV 36 consid. 4.1 non publié; 132 IV 12 consid. 8.1; 129 IV 130 consid. 2.2 et 2.3). Une comptabilité véridique est dans l'intérêt non seulement des actionnaires qui désignent le conseil d'administration et les membres de la direction, mais aussi des créanciers et, d'une manière plus générale, du public qu'elle vise à renseigner sur l'entreprise. Il y a donc faux dans les titres lorsque la comptabilité ne satisfait pas aux exigences légales requises pour assurer sa véracité et la confiance en celle-ci. Ces exigences sont formulées notamment aux art. 662a ss et 957 ss CO. La fausse comptabilité constitue un faux intellectuel (Dupuis et al. [éd.], op. cit., n. 9 ad art. 251 CP et la jurisprudence citée). Sur le plan subjectif, l'art. 251 CP exige un comportement intentionnel, le dol éventuel étant toutefois suffisant, ainsi qu'un dessein spécial, qui peut se présenter sous deux formes alternatives, soit le dessein de porter atteinte aux intérêts pécuniaires ou aux droits d'autrui ou le dessein de se procurer ou de procurer à un tiers un avantage illicite. L'avantage est une notion très large; il suffit que l'auteur veuille améliorer sa situation. Son illicéité peut résulter de la loi, du but poursuivi ou du moyen utilisé ; elle peut donc être déduite du seul fait que l'auteur recourt à un faux (TF 6B_1001/2009 du 23 avril 2010 consid. 2.2.1 et les références citées). 4.3 4.3.1 En l’espèce, il y a lieu, avant tout, de situer les faits litigieux dans leur contexte.</w:t>
      </w:r>
    </w:p>
    <w:p>
      <w:r>
        <w:t>- 22 - Selon les explications – non remises en causes – contenues dans la plainte, les deux sociétés T.________ et J.________ étaient en affaires, la première ayant chargé la seconde de développer un système informatique de traçabilité de la stérilisation des dispositifs médicaux pour les dentistes, commercialisé par T.________ qui établissait les factures aux clients sous forme d’abonnements mensuels (P. 4, ch. 4 et 5). C’est dans ce cadre que T.________, en difficultés financières, s’est retrouvée en situation de devoir des sommes considérables à J.________, que l’acte d’accusation qualifie improprement « d’avances » (cas 2). C’est ainsi que C.X.________ a consenti le prêt de 150'000 fr. mentionné dans l’acte d’accusation (cas 1) à G.________, à charge pour lui de solder, dès réception des fonds, les factures ouvertes de J.________ à concurrence de 150'000 fr. (P. 19). Les comptes au sens strict (bilans, pertes et profits) de T.________ étaient formellement tenus par une fiduciaire, [...] (PV aud. 2, lignes 110 à 124), mais selon G.________, la comptabilité « quotidienne » semble avoir été tenue par J.________, la fiduciaire allant se servir sur le serveur de J.________ pour retrouver les pièces utiles pour la comptabilité (PV aud. 2, lignes 121-122 ; p. 4 supra), ce qui est confirmé par le fiduciaire en charge du dossier chez [...], [...] (PV aud. 5, lignes 65-70). Dans les comptes 2013 (P. 5/18) et 2014 (P. 5/17) de T.________, figure au passif la mention d’un « prêt C.X.________ postposé », sous la rubrique « Fonds propres », pour un montant de 136'800 fr. pour 2013 et de 97'200 fr. pour 2014, ainsi que, pour 2014, la mention « J.________ postposé » pour un montant de 100’000 francs. Il est constant que sans la mention de ces sommes dans les fonds propres, les comptes auraient fait apparaître un état de surendettement au sens de l’art. 725 al. 2 CO.</w:t>
      </w:r>
    </w:p>
    <w:p>
      <w:r>
        <w:t>- 23 - 4.3.2 En relation avec les créances postposées, le jugement retient que pour l’exercice 2013, le bilan de T.________ faisait mention dans les fonds propres d’un prêt de C.X.________ d’un montant de 136'800 fr. alors que cette dette n’avait fait l’objet d’aucune convention de postposition. [...] a expliqué que c’est d’entente avec G.________ qu’il avait établi les comptes 2013 avec la mention de la postposition à côté d’un prêt de C.X.________ d’un montant de 136'800 fr. et que c’était à G.________ qu’il incombait de faire le nécessaire pour obtenir l’accord du créancier pour cette postposition. Ne l’ayant pas fait, au moment d’approuver les comptes 2013, le prévenu avait parfaitement conscience que la mention selon laquelle le prêt de C.X.________ était postposée et se trouvait donc dans les fonds propres était fausse, puisqu’il avait reconnu qu’il n’avait jamais discuté avec ce dernier pour savoir s’il était d’accord de postposer cette créance. Au surplus, l’instruction avait permis d’établir que cette créance n’avait rien à faire dans les comptes de T.________ dans la mesure où il s’agissait en réalité d’un emprunt contracté personnellement par G.________ auprès de C.X.________ (jugt, pp. 42-43). 4.3.3 Avec les premiers juges, on constatera que c’est effectivement C.X.________ qui a consenti le prêt de 136'800 fr. à G.________, de sorte qu’il est correct de considérer que ce montant ne devait pas figurer dans les comptes de T.________. Se pose dès lors deux questions, la première étant de savoir comment les comptes auraient dû se présenter s’ils avaient été corrects et la seconde étant de savoir si la présentation erronée, le cas échéant intentionnelle, avait pour but l’obtention d’un avantage illicite par rapport à la présentation de comptes corrects. Sur la base des explications que le comptable a livrées en cours d’enquête (PV aud. 5), si l’on considère que la dette envers C.X.________ est une dette de G.________ qui a injecté l’argent dans T.________, c’est le compte actionnaire du prévenu qui devait être augmenté de cette somme, ce qui semble du reste avoir été fait pour l’exercice 2014 (PV aud. 5, lignes 74-90). Le comptable a également dit que G.________ avait postposé sa créance (PV aud. 5, lignes 85-86). Ainsi,</w:t>
      </w:r>
    </w:p>
    <w:p>
      <w:r>
        <w:t>- 24 - les montants mentionnés dans les « Fonds propres » pour l’exercice 2013 (P. 5/18) n’auraient pas dû comporter un « prêt C.X.________ postposé » de 136'800 francs ; en revanche, cette somme aurait dû s’ajouter au « Compte courant G.________ postposé », qui figure également dans les « Fonds propres ». L’état de l’endettement aurait donc été le même. Dans cette mesure, la fausseté comptable des comptes ne peut réaliser le faux dans les titres au sens de l’art. 251 CP. Il en va de même en ce qui concerne le « prêt C.X.________ postposé » de 97'200 fr. figurant dans les comptes 2014 (P. 5/17). Sur ces mêmes comptes 2014, figure ensuite la mention d’un prêt accordé par J.________ pour 243'599 fr. 68, dont 100'000 fr. ont été postposés (P. 5/17). Le jugement ne s’étend guère sur ce prêt (jugt, p. 44), mais l’appelant n’en conteste pas l’existence (jugt, p. 22, par. 2), ni l’absence de toute déclaration de postposition (ibidem). Sur ce point, on peut suivre le raisonnement des premiers juges qui ont écarté les déclarations de G.________ selon lesquelles il pensait que ce serait la fiduciaire qui établirait et ferait signer les déclarations de postposition, puisque c’était précisément à lui de le faire, ce qu’il avait parfaitement compris et a fini par admettre (p. 4 supra). Dans cette mesure, l’état financier est effectivement faussé dans les comptes. Néanmoins, on ne saurait retenir que le prévenu a agi dans le dessein de nuire à la plaignante. Il ne s’agissait effectivement pas de tromper J.________, qui disposait de tous les renseignements sur la situation financière exacte de T.________. L’existence d’un avantage illicite – même sous la forme du dol éventuel – au sens de l’art. 251 CP n’est pas plus démontrée. D’ailleurs, l’acte d’accusation ne précise pas en quoi aurait consisté cet avantage pour l’appelant lui-même, et le seul fait, retenu par le jugement, de « continuer à exploiter cette entreprise et bénéficier de la structure de celle-ci » n’est à cet égard pas suffisant. Il n’y a pas non plus d’avantage fiscal, puisque selon le fiduciaire, la mention d’une dette postposée « péjore la taxation fiscale, c’est-à-dire que la facture fiscale est plus importante » (PV aud. 5, ligne 143). Quant au fait</w:t>
      </w:r>
    </w:p>
    <w:p>
      <w:r>
        <w:t>- 25 - que « l’actif du bilan ne correspond pas à la réalité dès lors que le client [...] est enregistré à tort dans la liste des débiteurs pour un montant de 6'652 fr. 80 », on ne saurait y voir une manœuvre visant à limiter les pertes de la société et à éviter le surendettement, de sorte que, sur ce point également, l’existence d’un avantage illicite au sens de l’art. 251 CP peut être exclu, comme cela résulte également du jugement attaqué (jugt, p. 45). Enfin, le fait pour l’appelant de se faire verser un salaire pour un travail accompli au sein de la société (p. 4 supra) n’est pas non plus illicite. Il s’ensuit que l’infraction de faux dans les titres n’est pas réalisée. L’appelant doit donc être libéré de ce chef d’accusation. 4.3.4 En ce qui concerne la gestion déloyale, compte tenu de la manière dont les 136'800 fr. apparaissant dans les comptes 2013 devaient être comptabilisés, comme relevé ci-avant, il en résulte la même situation que celle qui ressort finalement des comptes litigieux, à savoir que T.________ n’était pas surendettée à l’issue de l’exercice 2013. Dans ces conditions, on ne peut pas retenir que la violation du devoir de gestion consiste dans l’omission de déposer le bilan, comme le jugement en contient le reproche. Il n’y a donc pas de gestion déloyale. Quant à la situation de T.________ pour l’année 2014, sans la postposition du prêt de J.________ de 100'000 fr., qui n’avait pas lieu d’être en l’espèce, il y aurait certes eu surendettement. Cependant, l’acte d’accusation – qui lie la Cour de céans (art. 9 et 350 CPP) – ne précise pas en quoi le fait pour l’appelant d’avoir « fauss[é] les bilans de l’entreprise afin d’éviter sa mise en faillite » aurait porté atteinte aux intérêts de sa société au sens de l’art. 158 ch. 1 CP ; que cela ait permis au prévenu de pouvoir continuer à bénéficier de la structure que lui offrait T.________ (jugt, p. 47) n’est à cet égard pas suffisant ni pertinent, tant il est vrai que la situation de cette société était déjà, à ce moment-là, « catastrophique », comme l’a confirmé le témoin [...] (PV aud. 4, ligne 43), étant précisé que l’art. 158 CP n’a pas vocation de protéger les créanciers de la société, dont la plaignante. Par conséquent, la gestion déloyale n’est pas non plus réalisée dans ce cas.</w:t>
      </w:r>
    </w:p>
    <w:p>
      <w:r>
        <w:t>- 26 - Il s’ensuit que l’appelant doit également être libéré du chef d’accusation de gestion déloyale au sens de l’art. 158 ch. 1 CP. 4.4 L’appelant doit ainsi être purement et simplement libéré, ce qui dispense la Cour de céans d’examiner les autres griefs invoqués. 5. Compte tenu de son acquittement, l’appelant ne doit pas supporter les frais de première instance, lesquels seront laissés à la charge de l’Etat (art. 423 CPP). Pour ce motif, le montant alloué à la plaignante à titre d’indemnité de l’art. 433 CPP doit être supprimé. Toutefois, il ne se justifie pas de rejeter les prétentions civiles de la partie plaignante, en raison de l’indépendance du juge civil consacrée à l’art. 53 CO, de sorte qu’il convient de confirmer le chiffre IV du dispositif du jugement renvoyant J.________ à faire valoir ses conclusions civiles devant le juge civil. 6. Au vu de ce qui précède, l’appel doit être admis et le jugement entrepris réformé dans le sens des considérants qui précèdent. Compte tenu de l’acquittement du prévenu, il n’est pas alloué à la plaignante d’indemnité fondée sur l’art. 433 CPP en deuxième instance, d’ailleurs non requise. Me Robert Fox, défenseur d’office de G.________, a produit une liste d'opérations (P. 93) faisant état d’une activité de 8.9 heures, ce qui peut être admis, sous réserve des débours forfaitaires qui seront alloués à concurrence de 2% et non de 5% (cf. art. 3bis al. 1 RAJ [règlement sur l’assistance judiciaire en matière civile du 7 décembre 2010 ; BLV 211.02.3], applicable par renvoi de l’art. 26b TFIP [tarif des frais de procédure et indemnités en matière pénale du 28 septembre 2010 ; BLV 312.03.1]). Ainsi, le montant des honoraires s'élève à 1'602 fr. (8.9 x 180), auxquels s'ajoutent des débours par 32 fr. 05, une vacation par 120 fr. et</w:t>
      </w:r>
    </w:p>
    <w:p>
      <w:r>
        <w:t>- 27 - la TVA au taux de 7,7 % sur le tout par 135 fr. 05, de sorte que c'est une indemnité totale de 1'889 fr. 10 qui sera allouée à Me Fox. Vu l’issue de la cause, les frais de la procédure d’appel, par 4'349 fr. 10, constitués en l’espèce des émoluments d’audience et de jugement, par 2'570 fr. (art. 21 al. 1 et 2 TFIP), et de l’indemnité du défenseur d’office de l’appelant, seront mis par moitié à la charge de J.________, qui, à l’instar du Ministère public, a conclu au rejet de l’appel (cf. art. 428 al. 1, 1re phrase, CPP), le solde étant laissé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