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PE15.020767 vom 25. März 2019</w:t>
      </w:r>
    </w:p>
    <w:p>
      <w:r>
        <w:t>VD Tribunal cantonal, 2019-03-25, FR</w:t>
      </w:r>
    </w:p>
    <w:p>
      <w:r>
        <w:rPr>
          <w:b/>
        </w:rPr>
        <w:t xml:space="preserve">Quelle: </w:t>
      </w:r>
      <w:r>
        <w:t>https://mcp.opencaselaw.ch/entscheid/vd_gerichte_PE15.020767</w:t>
      </w:r>
    </w:p>
    <w:p>
      <w:r>
        <w:t>FR: VD_GERICHTE PE15.020767 du 25 mars 2019</w:t>
      </w:r>
    </w:p>
    <w:p>
      <w:r>
        <w:t>IT: VD_GERICHTE PE15.020767 del 25 marzo 2019</w:t>
      </w:r>
    </w:p>
    <w:p>
      <w:pPr>
        <w:pStyle w:val="Heading2"/>
      </w:pPr>
      <w:r>
        <w:t>Erwägungen</w:t>
      </w:r>
    </w:p>
    <w:p>
      <w:r>
        <w:rPr>
          <w:b/>
        </w:rPr>
        <w:t>E. 4.1</w:t>
      </w:r>
    </w:p>
    <w:p>
      <w:r>
        <w:t>L’appelant conteste la quotité de la peine infligée, qu’il souhaite voir ramenée à 18 mois et assortie d’un sursis complet ou partiel. Il soutient que son implication dans le trafic de stupéfiants litigieux est moins importante que celle retenue par les premiers juges, qu’il n’était pas au courant du fait que l’argent était destiné à une livraison, qu’aucune trace de stupéfiants n’a d’ailleurs été retrouvée sur lui à son arrivée à l’aéroport ou dans ses affaires personnelles et que la durée de deux ans de son activité délictueuse dans le cadre d’un trafic international n’a pas été démontrée. Il invoque l’absence d’antécédents, sa situation personnelle et ses obligations familiales, sa coopération et le fait qu’il ait admis sa culpabilité s’agissant de l’infraction à la LEI. Il se prévaut enfin de la jurisprudence rendue par la Cour d’appel pénale à titre de comparaison. Il fait également valoir qu’il a reconnu les faits qui lui étaient reprochés s’agissant des arriérés de pensions alimentaires, qu’il a pris l’engagement</w:t>
      </w:r>
    </w:p>
    <w:p>
      <w:r>
        <w:t>- 15 - de faire face à ses obligations financières familiales et qu’il doit être tenu compte de son bon comportement en détention.</w:t>
      </w:r>
    </w:p>
    <w:p>
      <w:r>
        <w:rPr>
          <w:b/>
        </w:rPr>
        <w:t>E. 4.2.1</w:t>
      </w:r>
    </w:p>
    <w:p>
      <w:r>
        <w:t>Aux termes de l'art. 47 CP (Code pénal suisse du 21 décembre 1937 ; RS 311),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w:t>
      </w:r>
    </w:p>
    <w:p>
      <w:r>
        <w:t>- 16 - sévère ou clémente au point de constituer un abus du pouvoir d'appréciation (ATF 136 IV 55 consid. 5.6 ; ATF 134 IV 17 consid. 2.1).</w:t>
      </w:r>
    </w:p>
    <w:p>
      <w:r>
        <w:rPr>
          <w:b/>
        </w:rPr>
        <w:t>E. 4.2.2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Aux termes de l’art. 19 al. 1 LStup, celui qui, sans droit, notamment, entrepose, expédie, transporte, importe, exporte des stupéfiants ou les passe en transit (b), possède, détient ou acquiert des stupéfiants ou s’en procure de toute autre manière (let. d), finance le trafic illicite de stupéfiants ou sert d'intermédiaire pour son financement (let. e),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agit comme membre d'une bande formée pour se livrer de manière systématique au trafic illicite de stupéfiants (let. b). L'art. 116 al. 1 let. a LEI punit d'une peine privative de liberté d'un an au plus ou d'une peine pécuniaire celui qui, en Suisse ou à l'étranger, facilite l'entrée, la sortie ou le séjour illégal d'un étranger ou participe à des préparatifs dans ce but.</w:t>
      </w:r>
    </w:p>
    <w:p>
      <w:r>
        <w:rPr>
          <w:b/>
        </w:rPr>
        <w:t>E. 4.2.3</w:t>
      </w:r>
    </w:p>
    <w:p>
      <w:r>
        <w:t>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w:t>
      </w:r>
    </w:p>
    <w:p>
      <w:r>
        <w:t>- 17 - drogue, la capacité d’honorer les commandes du distributeur et les ressources financières du client (Favre/Pellet/Stoudmann, Code pénal annoté, 3e éd., Lausanne 2011, n. 1.29 ad art. 47 CP et les réf. cit.). Même si elle ne joue pas un rôle prépondérant, la quantité de drogue – à l’instar du degré de pureté de celle-ci – constitue un élément important pour la fixation de la peine (ATF 122 IV 299 consid. 2c, JdT 1998 IV 38 ; ATF 121 IV 193 consid. 2d/cc, JdT 1997 IV 108). Ce critère perd cependant de l’importance au fur et à mesure que s’éloigne la limite à partir de laquelle le cas doit être considéré comme grave au sens de l’art. 19 al. 2 let. a LStup (ATF 122 IV 299 consid. 2c ; TF 6B_380/2008 du 4 août 2008).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w:t>
      </w:r>
    </w:p>
    <w:p>
      <w:r>
        <w:t>- 18 - s'expliquent normalement par le principe de l'individualisation des peines, voulu par le législateur ; elles ne suffisent pas en elles-mêmes pour conclure à un abus du pouvoir d'appréciation (ATF 141 IV 61 consid. 6.3.2 ; ATF 135 IV 191 consid. 3.1).</w:t>
      </w:r>
    </w:p>
    <w:p>
      <w:r>
        <w:rPr>
          <w:b/>
        </w:rPr>
        <w:t>E. 4.2.4</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IV 2.3.2, JdT 2017 IV 129; ATF 138 IV 120 consid. 5.2 p. 122, JdT 2013 IV 43). Que les dispositions pénales applicables prévoient abstraitement des peines de même genre ne suffit pas (ATF 144 IV 217 consid. 2.2 ; ATF 138 IV 120 consid. 5.2 p. 123; plus récemment TF 6B_1394/2017 du 2 août 2018 consid. 8.3.1). Si les sanctions envisagées concrètement ne sont pas du même genre, elles doivent être prononcées cumulativement (ATF 142 IV 265 consid. 2.3.2; ATF 138 IV 120 consid. 5.2 p. 122; ATF 137 IV 57 consid. 4.3.1 p. 58). La peine privative de liberté et la peine pécuniaire ne sont pas des sanctions du même genre (ATF 144 IV 217 consid. 2.2 ; ATF 137 IV 57 consid. 4.3.1 p. 58).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- 19 - aggravantes ou atténuantes. Dans un second temps, il augmentera cette peine pour sanctionner chacune des autres infractions, en tenant là aussi compte de toutes les circonstances y relatives (TF 6B_559/2018 du 26 octobre 2018 et les réf. citées). La jurisprudence avait admis que le juge puisse s'écarter de cette méthode concrète dans plusieurs configurations (cf.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JdT 2018 IV 335,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du 26 octobre 2018 et les réf. citées).</w:t>
      </w:r>
    </w:p>
    <w:p>
      <w:r>
        <w:rPr>
          <w:b/>
        </w:rPr>
        <w:t>E. 4.2.5</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w:t>
      </w:r>
    </w:p>
    <w:p>
      <w:r>
        <w:t>- 20 -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t>- 21 - La nouvelle teneur de l’art. 42 al. 1 CP, modifié par la loi fédérale du 19 juin 2015 (Réforme du droit des sanctions) en vigueur depuis le 1er janvier 2018 (RO 2016 1249 ; FF 2012 4385), n'est pas plus favorable au prévenu que l'ancienne. Le principe de la lex mitior (art. 2 al. 1 CP) ne trouve donc pas à s'appliquer.</w:t>
      </w:r>
    </w:p>
    <w:p>
      <w:r>
        <w:rPr>
          <w:b/>
        </w:rPr>
        <w:t>E. 4.3</w:t>
      </w:r>
    </w:p>
    <w:p>
      <w:r>
        <w:t>L’appelant plaide en vain que son rôle dans le cadre du trafic était moins important que celui retenu. En effet, les premiers juges ne se sont pas seulement fondés sur les déclarations de K.________ ou de R.________, mais également sur les investigations de la police, sur les écoutes téléphoniques effectuées et sur le contrôle fait par les gardes- frontière le 19 octobre 2015 au retour d’Espagne de J.________. Ainsi le prévenu a déclaré à ces derniers qu’il avait rendu visite à sa famille en Espagne, se gardant évidemment d’indiquer le motif réel de son déplacement. En outre, K.________ a confirmé lors de son audition du 23 novembre 2015 que J.________ était au courant de la relation entre l’argent transporté en Espagne et le trafic de stupéfiants (PV aud. 9 R. 13). Enfin, le fait qu’aucune trace de stupéfiants n’ait été découverte lors de son arrivée à l’aéroport n’a rien de surprenant, puisque l’appelant avait transporté de l’argent et non de la drogue. Au reste, les dénégations de l’appelant à l’audience du 25 mars 2019, qui divergent totalement des conclusions prises dans la déclaration d’appel, démontrent encore si nécessaire que sa version n’est absolument pas crédible. En l’espèce, l’appelant s’est rendu coupable de blanchiment d’argent, d’infraction grave à la LStup et d’infraction à la LEI. Au regard de la jurisprudence évoquée ci-dessus, il convient dans un premier temps de déterminer la peine pour l’infraction la plus grave, soit l’infraction grave à la LStup, passible d’une peine privative de liberté d’un an au moins et de vingt ans au plus. A l’instar des premiers juges, la Cour de céans considère que la culpabilité de J.________ est lourde et que les faits sont graves, puisqu’il a non seulement transporté l’argent destiné à payer une livraison de 300 grammes de cocaïne brute, mais encore mis son appartement à disposition d’un trafiquant-grossiste pour réceptionner une livraison de 156.3 grammes de cocaïne pure. Les livraisons de l’étranger ont permis</w:t>
      </w:r>
    </w:p>
    <w:p>
      <w:r>
        <w:t>- 22 - d’approvisionner des grossistes, et non des revendeurs de rue, de sorte que l’appelant a logé et favorisé les activités illicites d’un trafiquant important. Des responsabilités d’organisation lui ont été confiées et il se situait donc à un niveau relativement élevé dans l’échelle de la distribution de la cocaïne. A charge, on retiendra encore que le trafic de cocaïne dans lequel l’appelant est impliqué a un caractère international et qu’il porte sur des quantités de cocaïne pure largement supérieures au seuil du cas grave de 18 grammes admis par la jurisprudence. De plus, les activités délictueuses de l’appelant se sont inscrites sur la durée puisqu’elles se sont déroulées durant deux ans. Le fait que l’appelant conteste encore en appel les charges retenues contre lui, fondées sur des éléments de preuves concrets, démontre une absence de prise de conscience de la gravité et de la portée de ses actes. Enfin, l’appelant a agi par pur appât du gain. Ainsi, à elle seule, l’infraction grave à la LStup doit être réprimée d’une peine privative de liberté de l’ordre de 18 mois. Pour le reste, le bon comportement du prévenu en détention ne constitue pas un élément à décharge, dès lors qu'une telle attitude correspond à ce que l'on doit pouvoir attendre d'un détenu (TF 6B_99/2012 du 4 novembre 2012 consid. 4). Il n’y a ainsi, en définitive, aucun élément à décharge à prendre en compte, l’absence d’antécédents ayant un effet neutre et ne revêtant pas d’importance particulière dans la fixation de la peine. Ainsi, compte tenu du concours d’infractions, il faut confirmer la peine privative de liberté de 24 mois prononcée par les premiers juges, laquelle s’avère adéquate pour sanctionner les infractions commises par le prévenu. L’appelant reproche aux premiers juges de ne pas lui avoir accordé un sursis total ou partiel. Quand bien même le prévenu n’a pas d’antécédents, le pronostic le concernant est absolument défavorable. Il a accumulé les infractions sur une longue période, niant obstinément l’évidence et n’exprimant aucun regret. Il s’est soustrait à la procédure de</w:t>
      </w:r>
    </w:p>
    <w:p>
      <w:r>
        <w:t>- 23 - première instance et les renseignements professionnels le concernant ne sont pas bons. C’est à bon droit que le sursis lui a été refusé. En définitive, les moyens de l’appelant sont mal fondés et la peine privative de liberté ferme de 24 mois prononcée par les premiers juges doit être confirmée.</w:t>
      </w:r>
    </w:p>
    <w:p>
      <w:r>
        <w:rPr>
          <w:b/>
        </w:rPr>
        <w:t>E. 5</w:t>
      </w:r>
    </w:p>
    <w:p>
      <w:r>
        <w:t>La détention subie par J.________ depuis son arrestation le 5 juin 2018 doit être déduite (art. 51 CP). Le maintien en détention du prévenu pour des motifs de sûreté sera ordonné pour garantir l'exécution de la peine, vu le risque de fuite élevé qu’il présente (art. 221 al. 1 let. a CPP). En effet, dans l’hypothèse d’une libération, l’appelant, ressortissant suisse et guinéen (P. 46/4), fuira assurément en Afrique – comme il l’a d’ailleurs fait durant l’enquête – ou entrera dans la clandestinité pour se soustraire à la peine à laquelle il a été condamné.</w:t>
      </w:r>
    </w:p>
    <w:p>
      <w:r>
        <w:rPr>
          <w:b/>
        </w:rPr>
        <w:t>E. 6</w:t>
      </w:r>
    </w:p>
    <w:p>
      <w:r>
        <w:t>En définitive, l’appel interjeté par J.________ doit être rejeté et le jugement entrepris confirmé. La liste des opérations produite par Me Gilles Miauton (P. 84) fait état de 1'981 fr. 60 d’honoraires, montant dont il n’y a pas lieu de s’écarter si ce n’est pour y ajouter le montant de 105 fr. pour 35 minutes d’activité d’avocat breveté pour l’audience d’appel du 25 mars 2019. Me Miauton réclame le montant de 1'034 fr. 50 au titre de débours, montant correspondant pour l’essentiel à 2 vacations de 120 fr. et à 786 fr. 50 pour les frais de déplacement à la Prison centrale de Fribourg. Il convient toutefois de s’en tenir au forfait de 50 fr. de débours et à 3 vacations à 120 fr. destinées à couvrir les frais de déplacement tant à l’intérieur qu’à l’extérieur du canton. Ainsi, une indemnité pour la procédure d’appel d’un montant de 2'688 fr. 85, TVA et débours inclus, sera allouée au défenseur d’office de l’appelant. Vu l’issue de la cause, les frais de la procédure d'appel, par 4'848 fr. 85, constitués en l’espèce de l’émolument du présent jugement, par 2'160 fr. (art. 21 al. 1 et 2 TFIP [Tarif des frais de procédure et</w:t>
      </w:r>
    </w:p>
    <w:p>
      <w:r>
        <w:t>- 24 - indemnités en matière pénale du 28 septembre 2010; BLV 312.03.1]), et de l’indemnité allouée au défenseur d'office de l’appelant (art. 422 al. 1 et 2 let. a CPP), par 2'688 fr. 85, seront mis à la charge de J.________ qui succombe (art. 428 al. 1 CPP). J.________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