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PE15.020744 vom 25. Juni 2019</w:t>
      </w:r>
    </w:p>
    <w:p>
      <w:r>
        <w:t>VD Tribunal cantonal, 2019-06-25, FR</w:t>
      </w:r>
    </w:p>
    <w:p>
      <w:r>
        <w:rPr>
          <w:b/>
        </w:rPr>
        <w:t xml:space="preserve">Quelle: </w:t>
      </w:r>
      <w:r>
        <w:t>https://mcp.opencaselaw.ch/entscheid/vd_gerichte_PE15.020744</w:t>
      </w:r>
    </w:p>
    <w:p>
      <w:r>
        <w:t>FR: VD_GERICHTE PE15.020744 du 25 juin 2019</w:t>
      </w:r>
    </w:p>
    <w:p>
      <w:r>
        <w:t>IT: VD_GERICHTE PE15.020744 del 25 giugno 2019</w:t>
      </w:r>
    </w:p>
    <w:p>
      <w:pPr>
        <w:pStyle w:val="Heading2"/>
      </w:pPr>
      <w:r>
        <w:t>Erwägungen</w:t>
      </w:r>
    </w:p>
    <w:p>
      <w:r>
        <w:rPr>
          <w:b/>
        </w:rPr>
        <w:t>E. 5.1</w:t>
      </w:r>
    </w:p>
    <w:p>
      <w:r>
        <w:t>S’agissant de la quotité de la peine qu’il estime trop clémente, le Ministère public reproche au Tribunal de première instance une mauvaise appréciation de la culpabilité de la prévenue, fondée sur une minimisation de la fréquence des coups ainsi que sur les constats erronés que la victime aurait exagéré et que F.________ aurait, compte tenu de son vécu, déjà été largement punie. Contestant également le sursis complet octroyé par les premiers juges, le Ministère public fait valoir que l'absence de prise de conscience conduirait à un pronostic mitigé et non favorable, si bien qu’une partie de la peine devrait être ferme.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- 21 -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5.2.2</w:t>
      </w:r>
    </w:p>
    <w:p>
      <w:r>
        <w:t>En vertu de l'art. 48 let. d CP le juge atténue la peine si l'auteur a manifesté par des actes un repentir sincère, notamment s'il a réparé le dommage autant qu'on pouvait l'attendre de lui.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classement (ATF 143 IV 373 consid. 1.4.1 ; ATF 135 IV 12 consid. 3.6 ; ATF 130 IV 54 consid. 3.3.1 et les réf. citées ; TF 6B_203/2019 du 10 avril 2019 consid. 3.1).</w:t>
      </w:r>
    </w:p>
    <w:p>
      <w:r>
        <w:rPr>
          <w:b/>
        </w:rPr>
        <w:t>E. 5.2.3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w:t>
      </w:r>
    </w:p>
    <w:p>
      <w:r>
        <w:t>- 22 -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1.2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5.2.4</w:t>
      </w:r>
    </w:p>
    <w:p>
      <w:r>
        <w:t>D’après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w:t>
      </w:r>
    </w:p>
    <w:p>
      <w:r>
        <w:t>- 23 -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Les art. 42 et 43 CP ont été modifiés avec effet au 1er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 Genton, La fixation de la peine et le sursis à l'aune</w:t>
      </w:r>
    </w:p>
    <w:p>
      <w:r>
        <w:t>- 24 - du nouveau droit des sanctions, in : Forumpoenale 5/2017 p. 328 ; CAPE 8 février 2018/32 consid. 5.2.1 in fine).</w:t>
      </w:r>
    </w:p>
    <w:p>
      <w:r>
        <w:rPr>
          <w:b/>
        </w:rPr>
        <w:t>E. 5.3</w:t>
      </w:r>
    </w:p>
    <w:p>
      <w:r>
        <w:t>Pour fixer la peine à 6 mois de privation de liberté avec sursis pendant 3 ans, les premiers juges ont considéré que la prévenue s’était rendue coupable d’infractions graves ayant mis en danger le développement de l’enfant, mais qu’il fallait tenir compte d’une violation du principe de la célérité – deux ans ayant séparé les auditions effectuées par la police en septembre 2015 de celles menées par le Ministère public en septembre 2017 –, du fait que la prévenue s’était engagée à verser une réparation morale importante au vu de la modicité de ses revenus de femme de ménage, et surtout de la personnalité particulière de F.________, femme démunie, dépassée par sa condition de mère, ayant elle-même été victime de violences, paraissant triste, dépourvue de moyens intellectuels et ainsi finalement déjà largement punie par son vécu (jugement, pp. 23- 24). La peine doit en tout état de cause être réexaminée pour tenir compte des exigences relatives au concours et à l’application de l’art. 49 al. 1 CP. La prévenue doit être sanctionnée pour des lésions corporelles simples qualifiées, passibles d’une peine privative de liberté de 3 ans au plus ou d’une peine pécuniaire (art. 123 ch. 2 al. 2 CP), ainsi que pour une violation du devoir d’assistance ou d’éducation, également passible d’une peine privative de liberté de 3 ans au plus ou d’une peine pécuniaire (art. 219 al. 1 CP). Les agissements de F.________ ont consisté en une maltraitance physique continue en raison du désamour qu’elle portait à son fils, non désiré et rejeté, alors qu'elle a au contraire traité correctement sa fille cadette. On dénote dans les violences infligées une cruauté et une méchanceté certaines, ainsi qu'un plaisir à faire mal, tant dans leur déclenchement futile ou sans motif que dans les moyens utilisés, plus particulièrement les séances de fouet à coups de câble, l'enfant étant parfois requis d'ôter son vêtement pour augmenter la souffrance. On peut également stigmatiser la lâcheté consistant à s'en prendre à un être faible</w:t>
      </w:r>
    </w:p>
    <w:p>
      <w:r>
        <w:t>- 25 - et dépendant. Comme ces mauvais traitements ont perduré après une première intervention des autorités visant à protéger l'enfant au [...] et qu'ils se sont poursuivis après que la prévenue s’est elle-même réfugiée en foyer pour fuir la violence de son conjoint, ainsi que lorsque l'enfant victime a vécu la semaine dans un foyer distinct, une peine privative de liberté s'impose comme genre de peine. Un tel choix de peine est de nature à constituer une vraie sanction pénale dans l’esprit de l’auteure et remplit ainsi un objectif de prévention spéciale. Le déni, le mensonge et les tentatives de manipuler la victime pour qu’elle la dédouane en justice, même à supposer dictés par la crainte du châtiment, alourdissent la culpabilité, le plaignant demandant principalement une reconnaissance que sa mère n'a jamais voulu lui accorder. L’infraction de base, la plus lourde, et celle de l’art. 219 CP, qui s’est étalée en continu sur environ deux ans. Au vu des constats qui précèdent, elle mérite d’être sanctionnée par une peine privative de liberté de 14 mois. Sa durée doit toutefois être réduite à 12 mois pour tenir compte, d'une part, de la violation du principe de la célérité et, d’autre part, de la réparation morale consentie par la prévenue. Les lésions corporelles simples qualifiées, qui ne peuvent en l’occurrence être distinguées et donc sanctionnées par épisodes, doivent être considérées comme une unité, soit une série de commissions successives et répétées de la même infraction dirigée contre la même personne et procédant d’une intention unique, qui justifie, par l’effet du concours, que la peine de base soit augmentée de 8 mois, réduits toutefois à 6 mois pour tenir compte une nouvelle fois de la violation du principe de célérité et de la réparation concédée. C’est ainsi en définitive une peine d’ensemble de 18 mois de privation de liberté qu’il se justifie de prononcer à l’encontre de la prévenue. Le moyen du Ministère public doit en conséquence être admis sur ce point.</w:t>
      </w:r>
    </w:p>
    <w:p>
      <w:r>
        <w:t>- 26 - En ce qui concerne la question du sursis, il faut constater que la prévenue n’a pas d’antécédents judiciaires et n’a pas commis de nouvelles infractions depuis le 1er août 2015, il y a plus de quatre ans. Compte tenu de ces éléments, et en dépit de l’absence de prise de conscience et de reconnaissance de sa culpabilité, un pronostic favorable peut être posé. Partant, le sursis complet se justifie.</w:t>
      </w:r>
    </w:p>
    <w:p>
      <w:r>
        <w:rPr>
          <w:b/>
        </w:rPr>
        <w:t>E. 6</w:t>
      </w:r>
    </w:p>
    <w:p>
      <w:r>
        <w:t>En définitive, l’appel du Ministère public doit être partiellement admis et le jugement querellé réformé dans le sens des considérants qui précèdent. L’appel joint de F.________ doit pour sa part être rejeté. Sur la base de la liste des opérations produite par Me Christian Jaccard (P. 85), dont il n’y a pas lieu de s’écarter, c’est une indemnité de 2'798 fr. 70, correspondant à 13 heures et 30 minutes d’activité au tarif horaire d’avocat de 180 fr., par 2'430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48 fr. 60, une vacation, par 120 fr., et la TVA, par 200 fr. 10, qui sera allouée au défenseur d’office de F.________. Sur la base de la liste des opérations produite par Me Alexandre Saillet (P. 84), dont il n’y a pas lieu non plus de s’écarter si ce n’est s’agissant du temps comptabilisé pour l’audience d’appel, qui doit être réduit à sa durée effective de 30 minutes, et des débours, qui doivent être limités forfaitairement à 2 % du défraiement hors taxe en deuxième instance (art. 3bis al. 1 RAJ), c’est une indemnité de 1'038 fr. 80, correspondant à 4,6 heures (4 heures et 36 minutes) d’activité au tarif horaire de 180 fr., par 828 fr., des débours, par 16 fr. 55, une vacation, par 120 fr., et la TVA, par 74 fr. 25, qui sera allouée au conseil juridique gratuit de Q.________. Vu l’issue de la cause, les frais de la procédure d’appel, par 6'437 fr. 50, constitués de l’émolument d’audience et de jugement, par</w:t>
      </w:r>
    </w:p>
    <w:p>
      <w:r>
        <w:t>- 27 - 2'600 fr. (art. 21 al. 1 et 2 TFIP), ainsi que des indemnités allouées au défenseur d’office de la prévenue, par 2'798 fr. 70, et au conseil d’office du plaignant, par 1'038 fr. 80, seront mis par trois quarts, soit par 4'828 fr. 10, à la charge de F.________ (art. 428 al. 1, 1re phrase, CPP), le solde étant laissé à la charge de l’Etat. F.________ ne sera toutefois tenue de rembourser à l’Etat les trois quarts des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