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PE15.019948 vom 25. Januar 2016</w:t>
      </w:r>
    </w:p>
    <w:p>
      <w:r>
        <w:t>VD Tribunal cantonal, 2016-01-25, FR</w:t>
      </w:r>
    </w:p>
    <w:p>
      <w:r>
        <w:rPr>
          <w:b/>
        </w:rPr>
        <w:t xml:space="preserve">Quelle: </w:t>
      </w:r>
      <w:r>
        <w:t>https://mcp.opencaselaw.ch/entscheid/vd_gerichte_PE15.019948</w:t>
      </w:r>
    </w:p>
    <w:p>
      <w:r>
        <w:t>FR: VD_GERICHTE PE15.019948 du 25 janvier 2016</w:t>
      </w:r>
    </w:p>
    <w:p>
      <w:r>
        <w:t>IT: VD_GERICHTE PE15.019948 del 25 gennaio 2016</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w:t>
      </w:r>
    </w:p>
    <w:p>
      <w:r>
        <w:t>- 5 - qu'un acquittement ou lorsque les probabilités d'acquittement et de condamnation apparaissent équivalentes, en particulier en présence d'une infraction grave (ATF 138 IV 86 consid. 4.1.2; ATF 138 IV 186 consid. 4.1; ATF 137 IV 285 consid. 2.5).</w:t>
      </w:r>
    </w:p>
    <w:p>
      <w:r>
        <w:rPr>
          <w:b/>
        </w:rPr>
        <w:t>E. 3.1</w:t>
      </w:r>
    </w:p>
    <w:p>
      <w:r>
        <w:t>Le recourant soutient que les ambulanciers auraient employé la force d’une manière injustifiée pour opérer son transfert à l’hôpital et conteste l’appréciation du procureur selon laquelle les actes incriminés peuvent être tenus pour licites au regard de l’art. 14 CP.</w:t>
      </w:r>
    </w:p>
    <w:p>
      <w:r>
        <w:rPr>
          <w:b/>
        </w:rPr>
        <w:t>E. 3.2</w:t>
      </w:r>
    </w:p>
    <w:p>
      <w:r>
        <w:t>Aux termes de l’art. 14 CP (Code pénal suisse du21 décembre 1937 ; RS 311.0), quiconque agit comme la loi l’ordonne ou l’autorise se comporte de manière licite, même si l’acte est punissable en vertu du présent code ou d’une autre loi. Il était déjà acquis, aux termes de la jurisprudence et de la doctrine relatives à l’art. 32 aCP,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in : Roth/Moreillon [éd.], Commentaire romand, Code pénal I, art. 1-110 CP, Bâle 2009, n. 21 ad art. 14-18 CP, p. 174 et la référence citée ; CREP du 15 juin 2015/396 ; CREP du 26 mai 2015/358). La licéité de l'acte est, en tous les cas, subordonnée à la condition qu'il soit proportionné à son but (ATF 107 IV 84 consid. 4). Il faut donc se demander si le préjudice porté aux droits de tiers n'excède pas ce qui est nécessaire pour atteindre le but qui le justifie (ATF 107 IV 84 précité consid. 4 et 4a ; ATF 94 IV 5 consid. 1 et 2a). Le respect de la proportionnalité est une question de droit, qui relève avant tout de</w:t>
      </w:r>
    </w:p>
    <w:p>
      <w:r>
        <w:t>- 6 - l'appréciation, laquelle doit intervenir en se replaçant dans les circonstances concrètes du cas, en tenant compte de la justification et du type de la mesure prise, des moyens et du temps dont disposait l'intéressé selon la représentation qu'il avait des faits au moment où il a agi, de la réalité du terrain, de l'urgence ou encore de l'état de tension dans lequel l'auteur pouvait être légitimement plongé (TF 6B_930/2008 du 15 janvier 2009 consid. 3.1 et la référence citée). Ainsi, les autorités judiciaires ne doivent pas se livrer à des raisonnements a posteriori trop subtils pour établir si l'auteur des mesures de défense n'aurait pas pu ou dû se contenter d'avoir recours à des moyens moins dommageables (Monnier, op. cit., n. 5 ad art. 14-18 CP et les références citées).</w:t>
      </w:r>
    </w:p>
    <w:p>
      <w:r>
        <w:rPr>
          <w:b/>
        </w:rPr>
        <w:t>E. 3.3</w:t>
      </w:r>
    </w:p>
    <w:p>
      <w:r>
        <w:t>En l’espèce, du moment que la Dresse V.________ avait estimé qu’un placement à des fins d’assistance au sens de l’art. 426 al. 1 CC (Code civil suisse ; RS 210) était justifié, il était possible de faire appel à la force publique pour mener à bien la conduite dans un établissement approprié (art. 23 al. 2 LVPAE [Loi d’application du droit fédéral de la protection de l’adulte et de l’enfant du 29 mai 2012 ; RSV 211.255]), et a fortiori de requérir que les ambulanciers tentent de procéder au transport médicalisé. Certes, il a été fait appel à la police après le refus virulent du plaignant de monter dans l’ambulance. Il est toutefois manifeste que si le recourant avait accepté de son plein gré de suivre les ambulanciers, ceux- ci n’auraient pas requis l’intervention de la police, laquelle était dès lors justifiée (art. 23 al. 1 LVPAE). Le recourant soutient que la procédure de l’art. 23 LVPAE aurait dû être précédée d’un avertissement (art. 450 g al. 3 CC). C’est oublier cependant qu’en cas de nécessité, la personne chargée de l’exécution peut demander l’aide de la police (Steck, CommFam, Protection de l’adulte, Berne 2013, nn. 16-17 ad art. 450 g CC) et qu’il peut être renoncé à une sommation lorsque le but de protection sur lequel est fondée la mesure l’exige (Steck, op. cit., n. 17 ad art. 450 g CC, p. 953; Message du Conseil fédéral relatif à la révision du Code civil suisse du 28 juin 2006, FF 2006 p. 6270). En l’espèce, si les ambulanciers n’avaient pas</w:t>
      </w:r>
    </w:p>
    <w:p>
      <w:r>
        <w:t>- 7 - maintenu le recourant à terre et appelé la police, il était à craindre que le but de la protection n’échoue. Comme l’action des ambulanciers était légitime au regard de l’art. 14 CP, c’est à juste titre que le procureur, appliquant cette disposition, a conclu à la licéité des actes incriminés, à tout le moins s’agissant d’éventuelles atteintes à l’intégrité corporelle et à la liberté. En tout état de cause, le recourant, qui a pourtant affirmé avoir consulté à l’hôpital de Nyon après les faits pour les blessures qu’il aurait reçues, n’a pas produit le certificat médical qu’il avait annoncé dans sa plainte, ni entre le dépôt de celle-ci et la reddition de l’ordonnance attaquée, ni pendant la procédure de recours. Ces blessures n’étant pas constatées objectivement, il n’y a de toute manière pas suffisamment d’indices pour ouvrir une instruction pénale du chef de lésions corporelles simples. L’infraction de dommages à la propriété (art. 144 al. 1 CP) peut également être exclue avec certitude. En effet, même si les verres des lunettes du recourant avaient été rayées au cours de l’intervention (aucune pièce établissant ce fait n’a toutefois été produite), elles ne l’auraient manifestement pas été intentionnellement, de sorte que l’élément subjectif de l’infraction fait défaut (ATF 116 IV 145 consid. 2b). L’infraction d’injure peut aussi être écartée, les expressions incriminées, pour grossières et désobligeantes qu’elles aient pu paraître, en admettant qu’elles aient été tenues, ne comportant aucune espèce d’atteinte à l’honneur du recourant. Il n’y a en effet ni jugement de valeur offensant (ATF 109 IV 39 consid. 4a, JdT 1984 IV 10), ni injure formelle (Dupuis et al., Petit Commentaire du Code pénal, Bâle 2012, nn. 12-14 ad art. 177 CP, p. 1037), ni fait attentatoire à l’honneur allégué en s’adressant au lésé (Dupuis et al., op. cit., n. 17 ad art. 177 CP). Par ailleurs, il convient de tenir compte de la tension qui devait régner durant l’intervention des ambulanciers.</w:t>
      </w:r>
    </w:p>
    <w:p>
      <w:r>
        <w:t>- 8 - Enfin, l’infraction de séquestration invoquée par le recourant n’est pas davantage réalisée. Il ressort en effet du rapport de police que son médecin traitant a décidé de l’hospitaliser (le rapport évoque un « formulaire PLAFA »). Les ambulanciers se sont bornés à exécuter cette décision en prenant en charge l’intéressé et en le transportant à l’hôpital. On ne saurait leur reprocher de ne pas s’être opposés à l’accomplissement de la mission qu’un médecin leur avait confiée.</w:t>
      </w:r>
    </w:p>
    <w:p>
      <w:r>
        <w:rPr>
          <w:b/>
        </w:rPr>
        <w:t>E. 3.4</w:t>
      </w:r>
    </w:p>
    <w:p>
      <w:r>
        <w:t>Il résulte de ce qui précède que les soupçons contre les ambulanciers sont insuffisants pour ordonner l’ouverture d’une instruction pénale. Les conditions posées par l’art. 310 al. 1 let. a CPP étant réunies, c’est à bon droit que le procureur a rendu une ordonnance de non-entrée en matière.</w:t>
      </w:r>
    </w:p>
    <w:p>
      <w:r>
        <w:rPr>
          <w:b/>
        </w:rPr>
        <w:t>E. 4</w:t>
      </w:r>
    </w:p>
    <w:p>
      <w:r>
        <w:t>En définitive, le recours, manifestement mal fondé, doit être rejeté sans autres échanges d’écritures (art. 390 al. 2 CPP) et l’ordonnance de non-entrée en matière du 2 novembre 2015 confirmée. Les frais de la procédure de recours, constitués en l’espèce du seul émolument d'arrêt (art. 422 al. 1 CPP), par 880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 novembre 2015 est confirmée. III. Les frais d’arrêt, par 880 fr. (huit cent huitante francs), sont mis à la charge de N.________.</w:t>
      </w:r>
    </w:p>
    <w:p>
      <w:r>
        <w:t>- 9 - IV. Le présent arrêt est exécutoire. Le président : Le greffier : Du Le présent arrêt, dont la rédaction a été approuvée à huis clos, est notifié, par l'envoi d'une copie complète, à : - Me Sara Giardina, avocate (pour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