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PE15.019082 vom 10. August 2017</w:t>
      </w:r>
    </w:p>
    <w:p>
      <w:r>
        <w:t>VD Tribunal cantonal, 2017-08-10, FR</w:t>
      </w:r>
    </w:p>
    <w:p>
      <w:r>
        <w:rPr>
          <w:b/>
        </w:rPr>
        <w:t xml:space="preserve">Quelle: </w:t>
      </w:r>
      <w:r>
        <w:t>https://mcp.opencaselaw.ch/entscheid/vd_gerichte_PE15.019082</w:t>
      </w:r>
    </w:p>
    <w:p>
      <w:r>
        <w:t>FR: VD_GERICHTE PE15.019082 du 10 août 2017</w:t>
      </w:r>
    </w:p>
    <w:p>
      <w:r>
        <w:t>IT: VD_GERICHTE PE15.019082 del 10 agosto 2017</w:t>
      </w:r>
    </w:p>
    <w:p>
      <w:pPr>
        <w:pStyle w:val="Heading2"/>
      </w:pPr>
      <w:r>
        <w:t>Erwägungen</w:t>
      </w:r>
    </w:p>
    <w:p>
      <w:r>
        <w:rPr>
          <w:b/>
        </w:rPr>
        <w:t>E. 4.1</w:t>
      </w:r>
    </w:p>
    <w:p>
      <w:r>
        <w:t>Invoquant une violation de l’art. 409 al. 3 CPP, l’appelante soutient qu’en aggravant l’accusation au lieu de juger la cause sur la seule base de l’ordonnance pénale, le Tribunal de police n’a pas respecté les instructions de la Cour d’appel pénale dans son arrêt de renvoi.</w:t>
      </w:r>
    </w:p>
    <w:p>
      <w:r>
        <w:rPr>
          <w:b/>
        </w:rPr>
        <w:t>E. 4.2</w:t>
      </w:r>
    </w:p>
    <w:p>
      <w:r>
        <w:t>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(art. 409 al. 1 CPP). La juridiction d’appel détermine les actes de procédure qui doivent être répétés ou complétés (al. 2). Le tribunal de première instance est lié par les considérants de la décision de renvoi et par les instructions visées à l’al. 2 (al. 3).</w:t>
      </w:r>
    </w:p>
    <w:p>
      <w:r>
        <w:rPr>
          <w:b/>
        </w:rPr>
        <w:t>E. 4.3</w:t>
      </w:r>
    </w:p>
    <w:p>
      <w:r>
        <w:t>Comme exposé ci-avant (cf. supra consid. 3.3), l’appelante ne peut être suivie dans son interprétation de la décision de renvoi de la Cour d’appel pénale du</w:t>
      </w:r>
    </w:p>
    <w:p>
      <w:r>
        <w:rPr>
          <w:b/>
        </w:rPr>
        <w:t>E. 5</w:t>
      </w:r>
    </w:p>
    <w:p>
      <w:r>
        <w:t>septembre 2016. Les considérants de cet arrêt reprochent au premier juge une violation de l’art. 333 al. 4 CPP, soit une violation des droits de défense des parties en cas modification de l’accusation et non le principe même de l’extension de l’accusation. Le grief est donc infondé.</w:t>
      </w:r>
    </w:p>
    <w:p>
      <w:r>
        <w:rPr>
          <w:b/>
        </w:rPr>
        <w:t>E. 5.1</w:t>
      </w:r>
    </w:p>
    <w:p>
      <w:r>
        <w:t>Invoquant une violation du principe de l’interdiction de la reformatio in pejus, l’appelante trouve choquant que le Tribunal ait cherché à profiter du renvoi de la procédure pour tenter de guérir les vices commis et ainsi aggraver sa situation. Elle soutient que si elle n’avait pas</w:t>
      </w:r>
    </w:p>
    <w:p>
      <w:r>
        <w:t>- 14 - fait appel, ou si elle n’avait pas contesté l’ordonnance pénale, elle se trouverait aujourd’hui dans une meilleure situation, car l’amende n’aurait été que de 400 fr. et non de 500 francs.</w:t>
      </w:r>
    </w:p>
    <w:p>
      <w:r>
        <w:rPr>
          <w:b/>
        </w:rPr>
        <w:t>E. 5.2</w:t>
      </w:r>
    </w:p>
    <w:p>
      <w:r>
        <w:t>Selon l'art. 391 al. 2 CPP, la juridiction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Selon la doctrine, le principe figurant à l’art. 391 al. 2 CPP, qui concerne en principe l’autorité de recours, s’applique également en cas de renvoi de la cause devant l’autorité de première instance conformément à l’art. 409 CPP, ce qui signifie qu’en cas de renvoi pour nouveau jugement, la nouvelle sanction ne pourra pas dépasser celle infligée lors du premier jugement de première instance (Moreillon/Parein-Reymond, op. cit., n. 9 ad art. 391 CPP).</w:t>
      </w:r>
    </w:p>
    <w:p>
      <w:r>
        <w:rPr>
          <w:b/>
        </w:rPr>
        <w:t>E. 5.3</w:t>
      </w:r>
    </w:p>
    <w:p>
      <w:r>
        <w:t>En l’espèce, si l’on suit la doctrine, le grief soulevé par l’appelante semble bien fondé en ce qui concerne la quotité de la peine. En effet, le jugement du 18 mai 2017 ne retient plus que cette dernière se serait complètement arrêtée avant d’être heurtée par la camionnette conduite par B.________, et la prévenue a ainsi été libérée de la prévention d’infraction à l’art. 37 al. 2 LCR. Ce jugement retient donc moins de faits et dispositions violées que celui du 10 mars 2016, et il ne fait état d’aucun fait nouveau, hormis l’aggravation, formelle, de l’accusation. Ainsi, si l’on suivait l’avis des auteurs cités au considérant qui précède, la sanction ne devait pas dépasser celle prononcée le 10 mars 2016; elle devait au contraire être légèrement inférieure. La question de savoir si cette opinion doit être suivie peut cependant demeurer ouverte, pour les motifs qui suivent. Pour le surplus, en tant qu’il porte sur le principe même de l’aggravation de l’accusation, le grief de l’appelante est mal fondé. En effet, l’interdiction de la reformatio in pejus ne s’applique pas au Tribunal</w:t>
      </w:r>
    </w:p>
    <w:p>
      <w:r>
        <w:t>- 15 - de police saisi d’une opposition à une ordonnance pénale (Moreillon/Parein-Reymond, op. cit., n. 14 ad art. 391 CPP).</w:t>
      </w:r>
    </w:p>
    <w:p>
      <w:r>
        <w:rPr>
          <w:b/>
        </w:rPr>
        <w:t>E. 6.1</w:t>
      </w:r>
    </w:p>
    <w:p>
      <w:r>
        <w:t>Invoquant une violation du principe ne bis in idem, l’appelante estime que l’ordonnance pénale contenait un classement implicite en ce qui concerne le freinage sans nécessité. Elle soutient en outre avoir été condamnée deux fois pour le même freinage, une fois sous l’angle de l’art. 34 al. 4 LCR et une fois sous l’angle de l’art. 12 al. 2 OCR.</w:t>
      </w:r>
    </w:p>
    <w:p>
      <w:r>
        <w:rPr>
          <w:b/>
        </w:rPr>
        <w:t>E. 6.2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 ne bis in idem », est garanti par l'art. 4 par. 1 du Protocole additionnel n° 7 à la Convention de sauvegarde des droits de l'homme et des libertés fondamentales, conclu à Strasbourg le 22 novembre 1984, et entré en vigueur pour la Suisse le 1er novembre 1988 (RS 0.101.07), ainsi que par l'art. 14 par. 7 du Pacte international relatif aux droits civils et politiques, conclu à New York le 16 décembre 1966 et entré en vigueur pour la Suisse le 18 septembre 1992 (Pacte ONU Il; RS 0.103.2). Le principe « ne bis in idem » découle en outre implicitement de la Constitution fédérale (ATF 137 I 363 consid. 2.1 et les arrêts cités). Enfin, selon l'art. 11 al. 1 CPP, aucune personne condamnée ou acquittée en Suisse par un jugement entré en force ne peut être poursuivie une nouvelle fois pour la même infraction. Cette disposition établit le principe de l’autorité de la chose jugée (ne bis in idem) selon lequel les faits qui ont fait l’objet d’un jugement entré en force ne peuvent plus être examinés dans une procédure pénale dirigée contre la même personne. Autrement dit, ce principe interdit qu’une personne soit poursuivie deux fois pour les mêmes faits (TF 6B_1194/2014 du 3 décembre 2015 consid. 4.2; Moreillon/Parein-Reymond, op. cit., n. 4 ad art. 11 CPP).</w:t>
      </w:r>
    </w:p>
    <w:p>
      <w:r>
        <w:t>- 16 -</w:t>
      </w:r>
    </w:p>
    <w:p>
      <w:r>
        <w:rPr>
          <w:b/>
        </w:rPr>
        <w:t>E. 6.3</w:t>
      </w:r>
    </w:p>
    <w:p>
      <w:r>
        <w:t>En l’espèce, le rapport de police du 22 mai 2015 ne fait pas état d’un freinage qui enfreindrait les art. 34 al. 4 LCR et 12 al. 2 OCR et d’un arrêt qui en enfreindrait d’autres, mais d’un « freinage dans l’intention de s’arrêter ». L’ambiguïté de cette formulation est sans doute la cause des hésitations de l’accusation. Quoi qu’il en soit, on ne saurait déduire du caractère succinct de l’ordonnance pénale que le Préfet a choisi d’abandonner un pan factuel de l’accusation, de sorte qu’il n’y a pas de classement implicite. Par ailleurs, le Tribunal de police a retenu que la prévenue avait procédé à un freinage inadéquat (art.12 al. 2 OCR) et – implicitement – qu’elle n’avait pas respecté une distance de sécurité (art. 34 al. 4 LCR). Ces deux normes sanctionnent ainsi deux aspects distincts du comportement de la prévenue. Le fait de retenir que plusieurs normes de la circulation routière ont été violées ne constitue pas une violation du principe ne bis in idem. En effet, si celles-ci trouvent à s’appliquer au comportement de l’auteur, elles peuvent être cumulées. En outre, l’appelante n’a été condamnée qu’une seule fois pour violation simple des règles de la circulation routière, de sorte que ce même comportement n’a pas été l’objet de plusieurs jugements. On examinera plus loin si les infractions retenues l’ont été à juste titre.</w:t>
      </w:r>
    </w:p>
    <w:p>
      <w:r>
        <w:rPr>
          <w:b/>
        </w:rPr>
        <w:t>E. 7.1</w:t>
      </w:r>
    </w:p>
    <w:p>
      <w:r>
        <w:t>Invoquant une violation de la maxime de l’instruction et de la garantie d’un procès équitable, l’appelante reproche au Ministère public d’avoir repris la direction de la procédure pour compléter, respectivement aggraver l’acte d’accusation, sans avoir au préalable instruit à décharge, par exemple en l’entendant.</w:t>
      </w:r>
    </w:p>
    <w:p>
      <w:r>
        <w:rPr>
          <w:b/>
        </w:rPr>
        <w:t>E. 7.2</w:t>
      </w:r>
    </w:p>
    <w:p>
      <w:r>
        <w:t>Selon l’art. 6 CPP, les autorités pénales recherchent d’office tous les faits pertinents pour la qualification de l’acte et le jugement du</w:t>
      </w:r>
    </w:p>
    <w:p>
      <w:r>
        <w:t>- 17 -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nn. 4 et 8 ad art. 6 CPP et les références citées).</w:t>
      </w:r>
    </w:p>
    <w:p>
      <w:r>
        <w:rPr>
          <w:b/>
        </w:rPr>
        <w:t>E. 7.3</w:t>
      </w:r>
    </w:p>
    <w:p>
      <w:r>
        <w:t>En l’espèce, la prévenue a été entendue sur les événements du 5 mai 2015 par la police, par le Préfet, puis une première fois par le Tribunal de police. Après l’aggravation formelle de l’accusation, elle a été réentendue par le Tribunal de police, et a pu s’expliquer spécifiquement sur le freinage et son éventuel aspect pénal. Pour le surplus, elle ne sollicite aucune mesure d’instruction. On ne décèle dès lors aucune violation de la maxime de l’instruction. Le grief est infondé.</w:t>
      </w:r>
    </w:p>
    <w:p>
      <w:r>
        <w:rPr>
          <w:b/>
        </w:rPr>
        <w:t>E. 8.1</w:t>
      </w:r>
    </w:p>
    <w:p>
      <w:r>
        <w:t>L’appelante invoque une violation de l’art. 12 al. 2 OCR – qu’elle conteste avoir enfreint – et des art. 9 et 350 CPP. Elle se réfère à ses déclarations à l’audience de jugement et fait valoir que si elle a freiné, ce n’était pas brusquement et sans raison, mais parce qu’elle avait peur et qu’elle arrivait au giratoire et dans une zone où la vitesse est limitée à 50 km/h. Elle estime que le premier juge a arbitrairement retenu qu’elle avait</w:t>
      </w:r>
    </w:p>
    <w:p>
      <w:r>
        <w:t>- 18 - freiné par colère, aucun élément du dossier n’allant dans ce sens. Ce comportement n’aurait au demeurant pas été envisagé dans l’acte d’accusation, qui ne retenait qu’un freinage brusque dans le but de s’arrêter, ce qui constituerait une violation du principe de l’immutabilité de l’accusation. Elle soutient également que c’est à tort que le premier juge lui attribue la responsabilité de l’accident. Selon elle, il appartenait à B.________ de garder ses distances s’il estimait ne pas pouvoir freiner normalement en raison de son chargement.</w:t>
      </w:r>
    </w:p>
    <w:p>
      <w:r>
        <w:rPr>
          <w:b/>
        </w:rPr>
        <w:t>E. 8.2</w:t>
      </w:r>
    </w:p>
    <w:p>
      <w:r>
        <w:t>Selon l’art. 12 al. 2 OCR, sauf nécessité, les coups de frein et arrêts brusques ne sont admis que si aucun véhicule ne suit.</w:t>
      </w:r>
    </w:p>
    <w:p>
      <w:r>
        <w:rPr>
          <w:b/>
        </w:rPr>
        <w:t>E. 8.3</w:t>
      </w:r>
    </w:p>
    <w:p>
      <w:r>
        <w:t>En l’espèce, l’acte d’accusation retient, dans les faits, un freinage brusque sans nécessité et, dans les dispositions légales, l’art. 12 al. 2 OCR. Le motif du comportement reproché à l’auteur n’étant pas un élément constitutif de l’infraction, il importe peu que le Tribunal s’écarte de celui qui figure dans l’acte d’accusation. Il n’y a ainsi pas de violation du principe de l’immutabilité de l’accusation. Sur le fond, le Tribunal de police a retenu que la prévenue avait freiné sans nécessité pour marquer son mécontentement. Il s’est fondé sur l’aveu de la prévenue de son agacement dû au fait que B.________ – dont elle estimait qu’il lui avait coupé la route – s’était engagé à faible allure devant elle, sur le fait qu’elle avait manifesté son énervement en klaxonnant et en faisant un doigt d’honneur lors du dépassement et a conclu qu’ayant subi des appels de phares, elle avait freiné sans raisons, ce qui avait conduit à l’accident. Ces motifs ne sont pas convaincants. Aucun élément n’accrédite la thèse d’un énervement persistant après les appels de phares. A la police, qui n’a pas assisté à l’incident, la prévenue a déclaré qu’elle avait freiné mais pas fortement, dans le but de s’arrêter pour discuter. Avant même l’arrêt, la camionnette avait heurté l’arrière de sa voiture. Par lettre adressée par son conseil au Préfet, à qui elle avait été dénoncée, elle a contesté avoir dit aux policiers qu’elle avait eu l’intention de s’arrêter. Entendue par le Préfet, la prévenue a indiqué avoir été inquiétée par les appels de phares, ce qu’elle</w:t>
      </w:r>
    </w:p>
    <w:p>
      <w:r>
        <w:t>- 19 - a confirmé aux débats du 18 mai 2017. Même si ce revirement est sans doute dû à des motifs tactiques, il n’en demeure pas moins que la prévenue n’a jamais dit avoir freiné sans motif, par énervement. De surcroît, aucun élément au dossier ne permet de retenir qu’elle aurait freiné brusquement et seuls les coups de frein et arrêts brusques sont interdits, pour autant qu’ils soient effectués sans nécessité. Quant à B.________, il résulte de ses déclarations qu’il avait été inattentif, qu’il avait renoncé à effectuer un freinage fort en raison de son chargement, et qu’il avait heurté la voiture pour ce motif, ce que rappelle même l’acte d’accusation. A l’audience du Tribunal de police il a déclaré avoir « compris trop tard » et donc « touché un peu » la voiture (jugt, p. 10). Il a d’ailleurs été dénoncé par la police pour vitesse inadaptée aux particularités du chargement et perte de maîtrise du véhicule due à une réaction inappropriée aux conditions de circulation. On rappellera en outre que l’art. 12 al. 1 OCR prévoit que lorsque des véhicules se suivent, le conducteur se tiendra à une distance suffisante du véhicule qui le précède, afin de pouvoir s'arrêter à temps en cas de freinage inattendu. Manifestement, la camionnette n’a pas observé une telle distance. En définitive, rien ne permet de penser que, dans des conditions normales, le véhicule suivant la prévenue n’aurait pas pu s’arrêter lors du freinage de celle-ci. Enfin, aux débats, J.________ a précisé que, lorsqu’elle avait aperçu les appels de phares, elle se trouvait à une centaine de mètres d’un giratoire et qu’à l’endroit où le choc s’était produit, se trouvait un panneau de limitation de la vitesse à 50 km/h, ce qu’a confirmé B.________ (cf. jugt p. 10). On doit donc considérer que la prévenue avait bien une raison de ralentir. Au vu de ce qui précède, le grief est bien fondé et la prévenue doit être libérée de l’accusation d’infraction à l’art. 12 al. 2 OCR.</w:t>
      </w:r>
    </w:p>
    <w:p>
      <w:r>
        <w:t>- 20 -</w:t>
      </w:r>
    </w:p>
    <w:p>
      <w:r>
        <w:rPr>
          <w:b/>
        </w:rPr>
        <w:t>E. 9.1</w:t>
      </w:r>
    </w:p>
    <w:p>
      <w:r>
        <w:t>L’appelante invoque une violation des art. 34 al. 4 LCR – qu’elle conteste avoir enfreint – et 353 CPP. Elle fait valoir qu’aucun fait décrit dans l’acte d’accusation ne correspond à une telle infraction.</w:t>
      </w:r>
    </w:p>
    <w:p>
      <w:r>
        <w:rPr>
          <w:b/>
        </w:rPr>
        <w:t>E. 9.2</w:t>
      </w:r>
    </w:p>
    <w:p>
      <w:r>
        <w:t>A teneur de l’art. 34 al. 4 LCR, le conducteur observera une distance suffisante envers tous les usagers de la route, notamment pour croiser, dépasser et circuler de front ou lorsque des véhicules se suivent.</w:t>
      </w:r>
    </w:p>
    <w:p>
      <w:r>
        <w:rPr>
          <w:b/>
        </w:rPr>
        <w:t>E. 9.3</w:t>
      </w:r>
    </w:p>
    <w:p>
      <w:r>
        <w:t>En l’espèce, le Tribunal de police a condamné la prévenue pour avoir enfreint l’art. 34 al. 4 LCR en indiquant entre parenthèses « freinage alors que des véhicules se suivent », sans autres explications. On ne voit toutefois pas en quoi la prévenue aurait violé cette disposition légale. En premier lieu, il n’est pas possible de reprocher à celle-ci d’avoir entretenu une distance insuffisante avec le véhicule qui la suivait du fait de son freinage ayant précédé la collision, qui, comme on vient de le voir, était justifié. De surcroît, ledit véhicule ne pouvait pas ou ne voulait pas freiner suffisamment en raison de son chargement et n’a manifestement pas respecté une distance adaptée à cet état de fait, ce qu’il n’appartenait pas à la prévenue d’anticiper. Quant au fait – antérieur – figurant en tête de l’acte d’accusation, soit qu’J.________ a dû freiner pour éviter la collision avec le véhicule piloté par B.________, qui venait de s’engager sur la route devant elle, il ne constitue pas non plus une violation de l’art. 34 al. 4 LCR. En effet, si la prévenue a pu freiner et ainsi éviter la collision avec le véhicule la précédent, il faut en déduire que c’est précisément parce qu’elle avait observé au préalable une distance suffisante. On ne voit au demeurant pas en quoi le fait qu’elle ait « dû » freiner constituerait une infraction. Le grief soulevé à cet égard doit ainsi être admis et l’appelante doit être libérée de cette accusation également.</w:t>
      </w:r>
    </w:p>
    <w:p>
      <w:r>
        <w:t>- 21 -</w:t>
      </w:r>
    </w:p>
    <w:p>
      <w:r>
        <w:rPr>
          <w:b/>
        </w:rPr>
        <w:t>E. 10</w:t>
      </w:r>
    </w:p>
    <w:p>
      <w:r>
        <w:t>En définitive, il ne demeure que l’infraction à l’art. 3 al. 1 OCR, admise, pour avoir fait un doigt d’honneur, qu’il convient de sanctionner par une amende, qui sera arrêtée à 100 fr., la peine privative de liberté de substitution étant d’un jour.</w:t>
      </w:r>
    </w:p>
    <w:p>
      <w:r>
        <w:rPr>
          <w:b/>
        </w:rPr>
        <w:t>E. 11.1</w:t>
      </w:r>
    </w:p>
    <w:p>
      <w:r>
        <w:t>L’appelante fait valoir que les frais de procédure devraient être entièrement laissés à la charge de l’Etat, dès lors qu’elle avait admis dès le début la seule infraction qui subsiste.</w:t>
      </w:r>
    </w:p>
    <w:p>
      <w:r>
        <w:rPr>
          <w:b/>
        </w:rPr>
        <w:t>E. 11.2</w:t>
      </w:r>
    </w:p>
    <w:p>
      <w:r>
        <w:t>L’art. 426 al. 1 CPP prévoit en substance que le prévenu supporte les frais de procédure s’il est condamné, à l’exception des frais afférents à la défense d’office. Le prévenu ne supporte pas les frais que la Confédération ou le canton ont occasionnés par des actes de procédure inutiles ou erronés (art. 426 al. 3 let. a CPP).</w:t>
      </w:r>
    </w:p>
    <w:p>
      <w:r>
        <w:rPr>
          <w:b/>
        </w:rPr>
        <w:t>E. 11.3</w:t>
      </w:r>
    </w:p>
    <w:p>
      <w:r>
        <w:t>En l’espèce, la prévenue n’a pas à supporter les errements de cette procédure. Cela étant, elle aurait en tout état de cause dû supporter les frais d’une procédure préfectorale. Il y a donc lieu de mettre à sa charge une part des frais, par 150 fr., correspondant au montant fixé dans l’ordonnance pénale initiale.</w:t>
      </w:r>
    </w:p>
    <w:p>
      <w:r>
        <w:rPr>
          <w:b/>
        </w:rPr>
        <w:t>E. 12</w:t>
      </w:r>
    </w:p>
    <w:p>
      <w:r>
        <w:t>juin 2009; RS 641.20), il convient de tenir compte du fait que les honoraires payés par la partie à son avocat sont quant à eux soumis à la TVA (CREP 9 juin 2017/377; CREP 1er mars 2017/904) –, soit une indemnité totale de 1'620 fr., qui sera partiellement compensée avec les frais mis à la charge de la prévenue.</w:t>
      </w:r>
    </w:p>
    <w:p>
      <w:r>
        <w:rPr>
          <w:b/>
        </w:rPr>
        <w:t>E. 12.1</w:t>
      </w:r>
    </w:p>
    <w:p>
      <w:r>
        <w:t>Invoquant une violation des art. 429 et 430 CPP, la prévenue conteste le refus d’une indemnité pour ses frais de défense, alors même que le premier juge l’a libérée de l’accusation d’avoir enfreint l’art. 37 al. 2 LCR. Elle conteste l’appréciation selon laquelle « c’est à cause de son comportement qu’un accident s’est produit et elle n’a rien fait pour calmer les choses ». Elle fait valoir qu’elle a dû déployer des efforts considérables pour obtenir son acquittement partiel et réclame 1'000 fr. à ce titre, ainsi que 4'000 fr. pour l’acquittement partiel supplémentaire réclamé en appel,</w:t>
      </w:r>
    </w:p>
    <w:p>
      <w:r>
        <w:t>- 22 - somme censée compenser les frais d’avocat des première et deuxième instances.</w:t>
      </w:r>
    </w:p>
    <w:p>
      <w:r>
        <w:rPr>
          <w:b/>
        </w:rPr>
        <w:t>E. 12.2</w:t>
      </w:r>
    </w:p>
    <w:p>
      <w:r>
        <w:t>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JdT 2013 IV 184). Déterminer si l'assistance d'un avocat procède d'un exercice raisonnable des droits de procédure et si, par conséquent, une indemnité pour frais de défense selon l'art. 429 al. 1 let. a CPP peut être allouée au prévenu, est une question de droit (TF 6B_1103/2015 du 2 mars 2016 consid. 2.1).</w:t>
      </w:r>
    </w:p>
    <w:p>
      <w:r>
        <w:rPr>
          <w:b/>
        </w:rPr>
        <w:t>E. 12.3</w:t>
      </w:r>
    </w:p>
    <w:p>
      <w:r>
        <w:t>En l’espèce, l’enjeu de la procédure était limité à une contravention et donc à une amende. La prévenue ne fait pas valoir qu’il y en aurait eu un autre, comme par exemple une sanction administrative du Service des automobiles et de la navigation. Toutefois, elle a effectivement dû multiplier les actes de procédure pour faire entendre ses arguments, qui portaient sur des questions de procédure complexes pour</w:t>
      </w:r>
    </w:p>
    <w:p>
      <w:r>
        <w:t>- 23 - un non initié. Il se justifie ainsi de lui octroyer une indemnité pour la procédure de première instance, mais limitée à l’essentiel, étant rappelé qu’elle a déjà reçu une indemnité pour la première procédure d’appel. En outre, la demande de récusation et les arguments procéduraux invoqués après l’annulation du premier jugement du Tribunal de police étaient infondés. Il ne se justifie pas de rémunérer cette activité, mais seulement celle ayant consisté à faire opposition à l’ordonnance préfectorale puis à assister à deux audiences du Tribunal de police. Il se justifie en définitive d’indemniser, ex aequo et bono, 6 heures de travail pour la procédure de première instance, au tarif horaire de 250 fr. réclamé par l’avocat. Cela représente 1'500 fr., plus un montant de 120 fr. correspondant à la TVA – étant rappelé que si les indemnités au sens des art. 429 ss CPP ne sont pas soumises à la TVA (art. 18 al. 2 let. i LTVA [Loi fédérale régissant la taxe sur la valeur ajoutée du</w:t>
      </w:r>
    </w:p>
    <w:p>
      <w:r>
        <w:rPr>
          <w:b/>
        </w:rPr>
        <w:t>E. 13</w:t>
      </w:r>
    </w:p>
    <w:p>
      <w:r>
        <w:t>Au vu de l’ensemble de ce qui précède, l’appel doit être admis pour l’essentiel de ses conclusions et le jugement du 18 mai 2017 réformé dans le sens des considérants qui précèdent. Vu l’issue de la cause, les frais d’appel, constitués en l’espèce du seul émolument d’arrêt, par 1’980 fr. (art. 21 al. 1 TFIP [Tarif des frais de procédure et indemnités en matière pénale du 28 septembre 2010; RSV 312.03.1]), seront laissés à la charge de l’Etat (art. 423 al. 1 CPP). L’appelante a conclu à l’octroi d’une indemnité pour les dépenses obligatoires occasionnées par la procédure d’appel. Dès lors que la prévenue obtient gain de cause sur ses conclusions et que l'assistance d'un mandataire professionnel était indiquée en procédure d'appel, une</w:t>
      </w:r>
    </w:p>
    <w:p>
      <w:r>
        <w:t>- 24 - indemnité à titre de l'art. 429 CPP doit lui être accordée, à la charge de l’Etat. Le montant de l’indemnité sera arrêté à 500 fr., correspondant à deux heures d’activité nécessaire au traitement de l’appel, au tarif horaire de 250 fr. réclamé par l’avocat (cf. art. 26a al. 3 TFIP), auquel il convient d’ajouter la TVA, par 44 fr., soit 544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