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PE15.018144 vom 15. Januar 2016</w:t>
      </w:r>
    </w:p>
    <w:p>
      <w:r>
        <w:t>VD Tribunal cantonal, 2016-01-15, FR</w:t>
      </w:r>
    </w:p>
    <w:p>
      <w:r>
        <w:rPr>
          <w:b/>
        </w:rPr>
        <w:t xml:space="preserve">Quelle: </w:t>
      </w:r>
      <w:r>
        <w:t>https://mcp.opencaselaw.ch/entscheid/vd_gerichte_PE15.018144</w:t>
      </w:r>
    </w:p>
    <w:p>
      <w:r>
        <w:t>FR: VD_GERICHTE PE15.018144 du 15 janvier 2016</w:t>
      </w:r>
    </w:p>
    <w:p>
      <w:r>
        <w:t>IT: VD_GERICHTE PE15.018144 del 15 gennaio 2016</w:t>
      </w:r>
    </w:p>
    <w:p>
      <w:pPr>
        <w:pStyle w:val="Heading2"/>
      </w:pPr>
      <w:r>
        <w:t>Erwägungen</w:t>
      </w:r>
    </w:p>
    <w:p>
      <w:r>
        <w:rPr>
          <w:b/>
        </w:rPr>
        <w:t>E. 2</w:t>
      </w:r>
    </w:p>
    <w:p>
      <w:r>
        <w:t>L’appelant reproche à l’autorité précédente d’avoir établi les faits de manière arbitraire et d’avoir violé le principe de la présomption d’innocence. Il conteste la force probante du rapport de police, celui-ci étant lacunaire, dès lors qu’il ne contiendrait aucune indication sur l’endroit précis où se trouvaient les agents de police, ni sur les conditions de circulation et sur les conditions météorologiques au moment de l’interpellation, ni sur la durée et le genre de manipulation du téléphone.</w:t>
      </w:r>
    </w:p>
    <w:p>
      <w:r>
        <w:rPr>
          <w:b/>
        </w:rPr>
        <w:t>E. 2.1.1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w:t>
      </w:r>
    </w:p>
    <w:p>
      <w:r>
        <w:t>- 6 -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w:t>
      </w:r>
    </w:p>
    <w:p>
      <w:r>
        <w:rPr>
          <w:b/>
        </w:rPr>
        <w:t>E. 2.1.2</w:t>
      </w:r>
    </w:p>
    <w:p>
      <w:r>
        <w:t>Aux termes de l'art. 31 al. 1 LCR (Loi fédérale sur la circulation routière du 19 décembre 1958 ; RS 741.01), le conducteur doit rester constamment maître de son véhicule de façon à pouvoir se conformer aux devoirs de prudence. Selon l’art. 3 al. 1 OCR (Ordonnance fédérale sur les règles de la circulation routière du 13 novembre 1962 ; RS 741.11), le conducteur vouera son attention à la route et à la circulation. Il évitera</w:t>
      </w:r>
    </w:p>
    <w:p>
      <w:r>
        <w:t>- 7 - toute occupation qui rendrait plus difficile la conduite du véhicule. Il veillera en outre à ce que son attention ne soit notamment distraite ni par un appareil reproducteur de son ni par un quelconque système d’information ou de communication. La violation simple de cette règle de circulation est punie de l’amende (art. 90 al. 1 LCR ; cf. TF 6B_965/2011 du 17 mai 2011 consid. 2.1). Le fait de tenir une conversation téléphonique en conduisant ne viole pas encore l’art. 3 al. 1 OCR puisque cela n’exige pas plus de concentration qu’une conversation avec les occupants d’un véhicule. En revanche, le fait de tenir un téléphone ou de le manipuler peut constituer une occupation rendant plus difficile la conduite du véhicule ou distrayant son chauffeur (art. 3 al. 1, 2e et 3e phrases OCR). Le conducteur doit en effet tenir le volant avec une main au moins et doit faire en sorte que l’autre, si elle n’est pas sur le volant, soit disponible à tout instant pour d’autres actions nécessaires, comme par exemple pour actionner l’avertisseur, le clignotant, le levier de vitesse ou l’essuie-glace (TF 6B_1183/2014 du 27 octobre 2015 consid. 1.3 ; ATF 120 IV 63 consid. 2d, JdT 1994 I 697). Lorsque le conducteur manipule un objet d’une main tout en actionnant le véhicule de l’autre, cette occupation rend plus difficile la conduite du véhicule si elle dure plus d’un court instant et si elle oblige le conducteur à modifier la position de son corps ou à détourner son regard du trafic (TF 6B_1183/2014 du 27 octobre 2015 consid. 1.3 et 1.4 ; ATF 120 IV 63 consid. 2d, JdT 1994 I 697). Le Tribunal fédéral arrive à la conclusion que, dans de telles circonstances, la complication de la conduite est illicite et viole l’art. 31 al. 1 et 3 LCR en lien avec l’art. 3 al. 1 OCR car la main manipulant un appareil est indisponible pour exécuter les mesures de prudence que pourraient imposer les circonstances, soit d’enclencher un clignotant, effectuer une manœuvre d’évitement ou encore un freinage d’urgence (TF 6B_1183/2014 du 27 octobre 2015 consid. 1.4 ; ATF 120 IV 63 consid. 2e, JdT 1994 I 697). Le Tribunal fédéral a en outre jugé que l’utilisation d’un dispositif radio dans des circonstances identiques à celles décrites ci-dessus est également une action illicite (TF 6B_1183/2014 du 27 octobre 2015 consid. 1.4 ; TF 6B_2/2010 du 16 mars 2010 consid. 1.5), de même que le fait de ramasser</w:t>
      </w:r>
    </w:p>
    <w:p>
      <w:r>
        <w:t>- 8 - son téléphone portable tombé au sol (TF 1C_299/2007 du 11 janvier 2008 consid. 2.2).</w:t>
      </w:r>
    </w:p>
    <w:p>
      <w:r>
        <w:rPr>
          <w:b/>
        </w:rPr>
        <w:t>E. 2.2</w:t>
      </w:r>
    </w:p>
    <w:p>
      <w:r>
        <w:t>Selon le rapport de police du 17 juin 2015, les deux agents, qui étaient postés le jour des faits sur la route de [...], à [...], ont constaté que l’appelant circulait sur ladite route en direction de [...] en tenant et manipulant un téléphone portable dans sa main droite et qu’il était de ce fait inattentif à la route. Il n’y a en l’espèce aucun motif permettant de s’écarter des constatations policières ou de douter de la crédibilité des agents, rompus à ce genre d’exercice, ce d’autant que l’appelant a reconnu le bien-fondé de leur intervention lorsqu’il a été intercepté. Bien que succinct, le rapport de police est clair, complet et suffisamment motivé. Les policiers ont non seulement constaté que l’appelant tenait un téléphone portable de sa main droite, mais aussi qu’il procédait à des manipulations sur l’appareil. L’appelant soutient que les termes « tenir » et « manipuler » auraient une définition identique. Or, tel n’est pas le cas ici. Tenir ou manipuler un appareil sont à l’évidence deux actions distinctes et ne se confondent pas. Les policiers n’auraient au demeurant pas utilisé deux termes différents pour faire état d’une seule action. En outre, en cas de doute sur leurs constatations, les agents n’auraient pas pris la peine de poursuivre et d’intercepter V.________. Il est manifeste que le genre d’opérations reproché à l’appelant, tendant à manipuler un téléphone portable, nécessite une certaine concentration et a pour conséquence une perte automatique d’attention sur la route, ce qui a été expressément relevé par les policiers. Partant, le cas d’espèce n’est en rien comparable à l’arrêt du Tribunal fédéral 6B_1183/2014 invoqué par l’appelant, dans lequel l’automobiliste ne faisait que tenir son appareil. Par ailleurs, quand bien même il conviendrait de préférer la version de l’appelant selon laquelle il aurait ramassé son téléphone portable tombé à ses pieds, la solution serait la même. En procédant de la</w:t>
      </w:r>
    </w:p>
    <w:p>
      <w:r>
        <w:t>- 9 - sorte, l’appelant aurait baissé l’un de ses bras pour tâtonner le sol à la recherche de son appareil et n’aurait pas eu d’autre choix que de modifier complétement la position de son corps, de sorte qu’il n’aurait de toute manière pas pu être attentif à la circulation. Au vu des éléments qui précèdent, c’est à juste titre que le premier juge a considéré que l’appelant s’était bien rendu coupable de violation simple des règles de la circulation routière au sens de l’art. 90 al. 1 LCR.</w:t>
      </w:r>
    </w:p>
    <w:p>
      <w:r>
        <w:rPr>
          <w:b/>
        </w:rPr>
        <w:t>E. 3</w:t>
      </w:r>
    </w:p>
    <w:p>
      <w:r>
        <w:t>En définitive, l’appel interjeté par V.________ doit être rejeté et le jugement entrepris intégralement confirmé. Vu le sort de la procédure, les frais d’appel, comprenant l’émolument d’arrêt, par 810 fr. (art. 21 al. 1 TFIP [Tarif des frais de procédure et indemnités en matière pénale du 28 septembre 2010 ; RSV 312.03.1]), doivent être mis à la charge de V.________ (art. 428 al.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