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PE15.017550 vom 22. Juni 2016</w:t>
      </w:r>
    </w:p>
    <w:p>
      <w:r>
        <w:t>VD Tribunal cantonal, 2016-06-22, FR</w:t>
      </w:r>
    </w:p>
    <w:p>
      <w:r>
        <w:rPr>
          <w:b/>
        </w:rPr>
        <w:t xml:space="preserve">Quelle: </w:t>
      </w:r>
      <w:r>
        <w:t>https://mcp.opencaselaw.ch/entscheid/vd_gerichte_PE15.017550</w:t>
      </w:r>
    </w:p>
    <w:p>
      <w:r>
        <w:t>FR: VD_GERICHTE PE15.017550 du 22 juin 2016</w:t>
      </w:r>
    </w:p>
    <w:p>
      <w:r>
        <w:t>IT: VD_GERICHTE PE15.017550 del 22 giugno 2016</w:t>
      </w:r>
    </w:p>
    <w:p>
      <w:pPr>
        <w:pStyle w:val="Heading2"/>
      </w:pPr>
      <w:r>
        <w:t>Erwägungen</w:t>
      </w:r>
    </w:p>
    <w:p>
      <w:r>
        <w:rPr>
          <w:b/>
        </w:rPr>
        <w:t>E. 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la détention, autorise également le détenu, malgré une formulation peu claire, à attaquer devant l’autorité de recours une décision refusant la libération de la détention (CREP 2 mars 2016/148 ; CREP 7 février 2011/14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RSV 312.01] ; art. 80 LOJV [Loi d’organisation judiciaire du 12 décembre 1979 ; RSV 173.01]). Le présent recours a été interjeté en temps utile et dans les formes prescrites (cf. art. 385 al. 1 CPP) par la détenue qui a qualité pour recourir (art. 382 CPP), de sorte qu’il est recevable.</w:t>
      </w:r>
    </w:p>
    <w:p>
      <w:r>
        <w:rPr>
          <w:b/>
        </w:rPr>
        <w:t>E. 2</w:t>
      </w:r>
    </w:p>
    <w:p>
      <w:r>
        <w:t>- 4 -</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préalablement à toute autre cause, de graves soupçons de culpabilité d’avoir commis un crime ou un délit à l’égard de l’auteur présumé (ATF 139 IV 186 consid. 2 ; Schmocker, in : Kuhn/Jeanneret [éd.], Commentaire romand, Code de procédure pénale suisse, Bâle 2011, nn. 7 ss ad art. 221 CPP, pp. 1024 ss).</w:t>
      </w:r>
    </w:p>
    <w:p>
      <w:r>
        <w:rPr>
          <w:b/>
        </w:rPr>
        <w:t>E. 2.2</w:t>
      </w:r>
    </w:p>
    <w:p>
      <w:r>
        <w:t>En l’espèce, la recourante, qui admet les faits qui lui sont reprochés, ne remet à juste titre pas en cause les soupçons suffisants de culpabilité qui existent à son encontre. Par ailleurs, des vols perpétrés par cette dernière sont attestés par les images de vidéosurveillance de la caméra installée dans l’atelier de la manufacture horlogère où elle travaillait.</w:t>
      </w:r>
    </w:p>
    <w:p>
      <w:r>
        <w:rPr>
          <w:b/>
        </w:rPr>
        <w:t>E. 3.1</w:t>
      </w:r>
    </w:p>
    <w:p>
      <w:r>
        <w:t>La recourante conteste l’existence d’un risque de fuite (art. 221 al. 1 let. a CPP).</w:t>
      </w:r>
    </w:p>
    <w:p>
      <w:r>
        <w:rPr>
          <w:b/>
        </w:rPr>
        <w:t>E. 3.2</w:t>
      </w:r>
    </w:p>
    <w:p>
      <w:r>
        <w:t>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1B_145/2012 du 19 avril 2012, consid. 3.1, non publié aux ATF 138 IV 81).</w:t>
      </w:r>
    </w:p>
    <w:p>
      <w:r>
        <w:t>- 5 - La gravité de l’infraction ne peut pas, à elle seule, justifier la prolongation de la détention, même si elle permet souvent de présumer un danger de fuite en raison de l’importance de la peine dont le prévenu est menacé (ibidem).</w:t>
      </w:r>
    </w:p>
    <w:p>
      <w:r>
        <w:rPr>
          <w:b/>
        </w:rPr>
        <w:t>E. 3.3</w:t>
      </w:r>
    </w:p>
    <w:p>
      <w:r>
        <w:t>En l’espèce, s’agissant d’une ressortissante de France licenciée par son employeur helvétique et domiciliée dans son pays d’origine, de même que ses parents et son frère, W.________ n’a pas véritablement d’attaches avec la Suisse. Il est dès lors à craindre qu’elle ne se soustraie aux poursuites pénales si elle venait à être libérée, ce d’autant qu’étant poursuivie pour des vols portant sur des objets d’une grande valeur, les charges qui pèsent sur elles sont importantes. Le fait qu’elle soit prête à collaborer avec les autorités n’y change rien. Au vu de ces éléments, la réalisation du risque de fuite apparaît non seulement possible, mais également probable, de sorte que le maintien en détention provisoire de W.________ se justifie. Partant, l’ordonnance attaquée ne prête pas le flanc à la critique.</w:t>
      </w:r>
    </w:p>
    <w:p>
      <w:r>
        <w:rPr>
          <w:b/>
        </w:rPr>
        <w:t>E. 4.1</w:t>
      </w:r>
    </w:p>
    <w:p>
      <w:r>
        <w:t>La recourante conteste l’existence d’un risque de collusion (art. 221 al. 1 let. b CPP).</w:t>
      </w:r>
    </w:p>
    <w:p>
      <w:r>
        <w:rPr>
          <w:b/>
        </w:rPr>
        <w:t>E. 4.2</w:t>
      </w:r>
    </w:p>
    <w:p>
      <w:r>
        <w:t>Le maintien en détention provisoire se justifie notamment lorsqu’il y a sérieusement lieu de craindre que le prévenu compromette la recherche de la vérité en exerçant une influence sur des personnes ou en altérant des moyens de preuve.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op. cit., nn. 14 et 15 ad</w:t>
      </w:r>
    </w:p>
    <w:p>
      <w:r>
        <w:t>- 6 - art. 221 CPP ; cf. ATF 137 IV 122 consid. 6.2 et 6.4) –, vise à garantir la constatation exacte et complète des faits.</w:t>
      </w:r>
    </w:p>
    <w:p>
      <w:r>
        <w:rPr>
          <w:b/>
        </w:rPr>
        <w:t>E. 4.3</w:t>
      </w:r>
    </w:p>
    <w:p>
      <w:r>
        <w:t>En l’espèce, des mesures d’instruction sont toujours en cours, en particulier des contrôles afin de vérifier les explications données par la recourante et K.________ qui sont entièrement contradictoires. En outre, une audition de W.________ devra encore avoir lieu, une fois que la demande d’entraide judiciaire adressée aux autorités françaises aura été exécutée. Par ailleurs, les deux ressortissants roumains mis en cause par cette dernière n’ont pas encore été identifiés ni localisés. Une libération de W.________ à ce stade serait ainsi susceptible de compromettre les résultats de l’enquête, puisque l’intéressée pourrait prendre contact avec les ressortissants roumains susmentionnés et K.________, ou entraver la poursuite de l’instruction, dès lors que, comme on l’a vu, elle doit encore être entendue une dernière fois sur les éléments nouveaux qu’apporteront les renseignements reçus par les autorités françaises. Compte tenu de ce qui précède, le risque de collusion est concret.</w:t>
      </w:r>
    </w:p>
    <w:p>
      <w:r>
        <w:rPr>
          <w:b/>
        </w:rPr>
        <w:t>E. 5</w:t>
      </w:r>
    </w:p>
    <w:p>
      <w:r>
        <w:t>Les motifs fondant la détention provisoire étant alternatifs (TF 1B_249/2011 du 7 juin 2011 consid. 2.4), l’existence des risques de fuite et de collusion dispense d’examiner si la détention provisoire s’impose également en raison du risque de réitération.</w:t>
      </w:r>
    </w:p>
    <w:p>
      <w:r>
        <w:rPr>
          <w:b/>
        </w:rPr>
        <w:t>E. 6.1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w:t>
      </w:r>
    </w:p>
    <w:p>
      <w:r>
        <w:t>- 7 - consid. 4.1 ; ATF 133 I 168 consid. 4.1 ; ATF 132 I 21 consid. 4.1). Toutefois, le fait que la peine encourue puisse être assortie du sursis, total ou partiel, n'est pas déterminant sous l'angle de la proportionnalité (ATF 133 I 270 consid. 3.4.2).</w:t>
      </w:r>
    </w:p>
    <w:p>
      <w:r>
        <w:rPr>
          <w:b/>
        </w:rPr>
        <w:t>E. 6.2</w:t>
      </w:r>
    </w:p>
    <w:p>
      <w:r>
        <w:t>En l’espèce, aucune mesure de substitution n’est propre à prévenir les risques constatés. Cette dernière n’en propose du reste aucune à l’appui de son recours. En conséquence, le maintien de la recourante en détention provisoire se justifie. W.________ est détenue depuis le 13 novembre 2015, soit depuis un peu plus de sept mois. Une telle durée reste proportionnée compte tenu de la gravité des faits qui lui sont reprochés et dès lors qu’elle s’expose à une peine supérieure à celle de la détention provisoire qu’elle devra subir jusqu’au 13 juillet 2015. Le Ministère public est toutefois invité à engager l’accusation de cette dernière devant un tribunal dans les meilleurs délais.</w:t>
      </w:r>
    </w:p>
    <w:p>
      <w:r>
        <w:rPr>
          <w:b/>
        </w:rPr>
        <w:t>E. 7</w:t>
      </w:r>
    </w:p>
    <w:p>
      <w:r>
        <w:t>Il résulte de ce qui précède que le recours, manifestement mal fondé, doit être rejeté, sans autre échange d’écritures (art. 390 al. 2 CPP), et l’ordonnance du 7 juin 2016 confirmée. Les frais de la procédure de recours,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à un total de 583 fr. 20, seront mis à la charge de la recourante, qui succombe (art. 428 al. 1 CPP). Le remboursement à l’Etat de l’indemnité allouée au défenseur d’office de la recourante ne sera toutefois exigible que pour autant que la situation économique de cette dernière se soit améliorée (art. 135 al. 4 CPP).</w:t>
      </w:r>
    </w:p>
    <w:p>
      <w:r>
        <w:t>- 8 - Par ces motifs, la Chambre des recours pénale prononce : I. Le recours est rejeté. II. L’ordonnance du 7 juin 2016 est confirmée. III. L’indemnité allouée au défenseur d’office de W.________ est fixée à 583 fr. 20 (cinq cent huitante-trois francs et vingt centimes). IV. Les frais d’arrêt, par 770 fr. (sept cent septante francs), ainsi que l’indemnité due au défenseur d’office de W.________, par 583 fr. 20 (cinq cent huitante-trois francs et vingt centimes), sont mis à la charge de cette dernière. V. Le remboursement à l’Etat de l’indemnité allouée au chiffre III ci-dessus ne sera exigible que pour autant que la situation économique de W.________ se soit améliorée. VI. L’arrêt est exécutoire. Le président : Le greffier : Du Le présent arrêt, dont la rédaction a été approuvée à huis clos, est notifié, par l'envoi d'une copie complète, à : - Me Charlotte Iselin, avocate (pour W.________), - Ministère public central, et communiqué à : - Mme la Présidente du Tribunal des mesures de contrainte, - Mme la Procureure de l’arrondissement de La Côte,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