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PE15.016732 vom 1. März 2018</w:t>
      </w:r>
    </w:p>
    <w:p>
      <w:r>
        <w:t>VD Tribunal cantonal, 2018-03-01, FR</w:t>
      </w:r>
    </w:p>
    <w:p>
      <w:r>
        <w:rPr>
          <w:b/>
        </w:rPr>
        <w:t xml:space="preserve">Quelle: </w:t>
      </w:r>
      <w:r>
        <w:t>https://mcp.opencaselaw.ch/entscheid/vd_gerichte_PE15.016732</w:t>
      </w:r>
    </w:p>
    <w:p>
      <w:r>
        <w:t>FR: VD_GERICHTE PE15.016732 du 1 mars 2018</w:t>
      </w:r>
    </w:p>
    <w:p>
      <w:r>
        <w:t>IT: VD_GERICHTE PE15.016732 del 1 marzo 2018</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Kuhn/Jeanneret [éd.], Commentaire romand, Code de procédure pénale suisse, Bâle 2011, n. 5 ad art. 356 CPP ; Riklin, in : Niggli/Heer/Wiprächtiger [éd.], Basler Kommentar, Schweizerische Strafprozessordnung, Jugendstrafprozessordnung, 2e éd., Bâle 2014, n. 2 ad art. 356 CPP ; CREP 9 septembre 2016/605 ; CREP 30 décembre 2014/925). Le recours doit être adressé par écrit, dans un délai de dix jours dès la notification de la décision attaquée (art. 384 let. b CPP), à l’autorité de recours (art. 396 al. 1 CPP) qui est, dans le canton de Vaud, la Chambre des recours pénale du Tribunal cantonal (art. 13 LVCPP [Loi</w:t>
      </w:r>
    </w:p>
    <w:p>
      <w:r>
        <w:t>- 4 - vaudoise du 19 mai 2009 d'introduction du Code de procédure pénale suisse ; RSV 312.01] ; art. 80 LOJV [Loi vaudoise du 12 décembre 1979 d'organisation judiciaire ; RSV 173.01]).</w:t>
      </w:r>
    </w:p>
    <w:p>
      <w:r>
        <w:rPr>
          <w:b/>
        </w:rPr>
        <w:t>E. 1.2</w:t>
      </w:r>
    </w:p>
    <w:p>
      <w:r>
        <w:t>Interjeté en temps utile (art. 396 al. 1 CPP) par le prévenu qui a qualité pour recourir (art. 382 al. 1 CPP) et dans les formes prescrites (art. 385 al. 1 CPP), le recours est recevable.</w:t>
      </w:r>
    </w:p>
    <w:p>
      <w:r>
        <w:rPr>
          <w:b/>
        </w:rPr>
        <w:t>E. 2</w:t>
      </w:r>
    </w:p>
    <w:p>
      <w:r>
        <w:t>Le recourant soutient que les forces de l’ordre ne l’auraient pas informé de ses droits lors de son interpellation et qu’il ne serait pas responsable des « défaillances » d’acheminement postal de l’ordonnance du 2 septembre 2015.</w:t>
      </w:r>
    </w:p>
    <w:p>
      <w:r>
        <w:rPr>
          <w:b/>
        </w:rPr>
        <w:t>E. 2.2.1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(CREP 13 août 2015/480 ; CREP 24 septembre 2014/695 ; CREP 11 août 2014/499). Elle est tardive si elle a été adressée au Ministère public après le délai de dix jours prévu par l'art. 354 al. 1 CPP.</w:t>
      </w:r>
    </w:p>
    <w:p>
      <w:r>
        <w:rPr>
          <w:b/>
        </w:rPr>
        <w:t>E. 2.2.2</w:t>
      </w:r>
    </w:p>
    <w:p>
      <w:r>
        <w:t>Les art. 84 ss CPP régissent les formes de notification. Selon l’art. 85 al. 2 CPP, la notification se fait en principe par lettre signature ou par tout autre mode de communication impliquant un accusé de réception, notamment par l'entremise de la police.</w:t>
      </w:r>
    </w:p>
    <w:p>
      <w:r>
        <w:t>- 5 - Aux termes de l'art. 85 al. 4 let. a CPP, un prononcé est réputé notifié lorsque, expédié par lettre signature, il n'a pas été retiré dans les sept jours à compter de la tentative infructueuse de remise du pli, si la personne concernée devait s'attendre à une telle remise. Selon l’art. 87 al. 2 CPP, les parties et leur conseil qui ont leur domicile, leur résidence habituelle ou leur siège à l'étranger sont tenus de désigner un domicile de notification en Suisse ; les instruments internationaux prévoyant la possibilité de notification directe sont réservés. Au nombre de ces instruments internationaux figure l’Accord du 28 octobre 1996 entre le Conseil fédéral suisse et le Gouvernement de la République française en vue de compléter la Convention européenne d'entraide judiciaire en matière pénale du 20 avril 1959 (RS 0.351.934.92), entré en vigueur par échange de notes le 1er mai 2000. Cet accord prévoit, à son art. X al. 1, que toutes pièces de procédure et toutes décisions judiciaires en matière pénale peuvent être adressées directement par la voie postale aux personnes qui se trouvent sur le territoire de l'autre Etat.</w:t>
      </w:r>
    </w:p>
    <w:p>
      <w:r>
        <w:rPr>
          <w:b/>
        </w:rPr>
        <w:t>E. 2.2.3</w:t>
      </w:r>
    </w:p>
    <w:p>
      <w:r>
        <w:t>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 En dérogation à l’art. 88 al. 1 et 2 CPP, l’art. 88 al. 4 CPP prévoit que les ordonnances de classement et les ordonnances pénales sont réputées notifiées même en l’absence d’une publication. Dans un tel cas, le délai d’opposition commence à courir dès que le ministère public a</w:t>
      </w:r>
    </w:p>
    <w:p>
      <w:r>
        <w:t>- 6 - signé l’ordonnance (Moreillon/Parein-Reymond, Petit commentaire du Code de procédure pénale, Bâle 2013, n. 17 ad art. 88 CPP). Cette fiction n’est toutefois valable que si l’une des conditions exigées par l’art. 88 al. 1 let. a à c CPP est remplie (TF 6B_738/2011 du 20 mars 2012 consid. 3.1 ;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Donatsch/Hansjakob/Lieber [éd.], Kommentar zur Schweizerischen Strafprozessordnung, 2e éd., 2014, n. 8 ad art. 88 CPP ; CREP 24 juillet 2014/512).</w:t>
      </w:r>
    </w:p>
    <w:p>
      <w:r>
        <w:rPr>
          <w:b/>
        </w:rPr>
        <w:t>E. 2.3</w:t>
      </w:r>
    </w:p>
    <w:p>
      <w:r>
        <w:t>En l’espèce, la police a procédé à l’audition du recourant lors de son interpellation le jour des faits. A cette occasion, le recourant a indiqué qu’il habitait à la [...], à [...] (France). Le Ministère public a ainsi, en application de l’art. 87 al. 2 CPP et de l’Accord passé avec la France, envoyé l’ordonnance pénale au recourant par pli recommandé à l’adresse française communiquée le 2 septembre 2015. L’ordonnance litigieuse a toutefois été retournée au Ministère public le 11 septembre 2015 avec la mention « Destinataire inconnu à l’adresse ». Le recourant a certes refusé de signer le procès-verbal de constat des infractions commises rédigé par l’agent de police, ainsi que le formulaire annexé l’avertissant qu’une procédure pénale était ouverte contre lui, mais il ne soutient pas que ces opérations n’auraient pas eu lieu. De toute manière, la Cour de céans n’a aucune raison de penser que le formulaire ne lui a pas été remis ou qu’il ne l’a pas compris. Dans ces conditions, il peut être admis que le recourant a formellement été informé de ses droits et obligations résultant du Code de procédure pénale suisse de par sa qualité de prévenu (P. 4), de sorte qu’il ne pouvait ignorer qu’un pli relatif à cette procédure lui serait envoyé et qu’il lui incombait de faire le nécessaire pour qu’un éventuel changement d’adresse soit communiqué au Ministère public.</w:t>
      </w:r>
    </w:p>
    <w:p>
      <w:r>
        <w:t>- 7 - Au reste, le Ministère public, qui disposait d’une adresse indiquée par le recourant, n’était pas tenu de procéder à des recherches complémentaires si le pli revenait en retour (cf. CREP 5 octobre 2015/639). Le fait que l’adresse communiquée par le recourant se soit avérée erronée ne change rien à ce constat. La fiction de l’art. 88 al. 4 CPP est ainsi opérante, de sorte que la notification de l’ordonnance pénale du 2 septembre 2015 s’avère régulière et que l’opposition du recourant du 29 janvier 2018 est manifestement tardive. C’est donc à bon droit que le premier juge l’a déclarée irrecevable.</w:t>
      </w:r>
    </w:p>
    <w:p>
      <w:r>
        <w:rPr>
          <w:b/>
        </w:rPr>
        <w:t>E. 3</w:t>
      </w:r>
    </w:p>
    <w:p>
      <w:r>
        <w:t>Au vu de ce qui précède, le recours interjeté par Z.________ doit être rejeté, sans autre échange d’écritures (art. 390 al. 2 CPP). Les frais de la procédure de recours, constitués en l’espèce du seul émolument d'arrêt, par 770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14 février 2018 est confirmé. III. Les frais d’arrêt, par 770 fr. (sept cent septante francs), sont mis à la charge de Z.________. IV. L’arrêt est exécutoire. Le président : La greffière :</w:t>
      </w:r>
    </w:p>
    <w:p>
      <w:r>
        <w:t>- 8 - Du Le présent arrêt, dont la rédaction a été approuvée à huis clos, est notifié, par l'envoi d'une copie complète, à : - M. Z.________, - Ministère public central, et communiqué à : - M. le Procureur de l’arrondissement de Lausanne, - M. le Président du Tribunal de police de l’arrondissement de Lausanne, - Directeur de la Prison de Champ-Dollon, - Service de la population, secteur étrangers (Z.________, né le [...].1981),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