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PE15.016445 vom 28. Mai 2018</w:t>
      </w:r>
    </w:p>
    <w:p>
      <w:r>
        <w:t>VD Tribunal cantonal, 2018-05-28, FR</w:t>
      </w:r>
    </w:p>
    <w:p>
      <w:r>
        <w:rPr>
          <w:b/>
        </w:rPr>
        <w:t xml:space="preserve">Quelle: </w:t>
      </w:r>
      <w:r>
        <w:t>https://mcp.opencaselaw.ch/entscheid/vd_gerichte_PE15.016445</w:t>
      </w:r>
    </w:p>
    <w:p>
      <w:r>
        <w:t>FR: VD_GERICHTE PE15.016445 du 28 mai 2018</w:t>
      </w:r>
    </w:p>
    <w:p>
      <w:r>
        <w:t>IT: VD_GERICHTE PE15.016445 del 28 maggio 2018</w:t>
      </w:r>
    </w:p>
    <w:p>
      <w:pPr>
        <w:pStyle w:val="Heading2"/>
      </w:pPr>
      <w:r>
        <w:t>Erwägungen</w:t>
      </w:r>
    </w:p>
    <w:p>
      <w:r>
        <w:rPr>
          <w:b/>
        </w:rPr>
        <w:t>E. 3</w:t>
      </w:r>
    </w:p>
    <w:p>
      <w:r>
        <w:t>CP (Code pénal suisse du 21 décembre 1937 ; RS 311.0) du 20 avril 2018 (P. 37/5) ; - le constat médical du 14 juillet 2015 (P. 7/2) n'est pas déterminant pour imputer des violences au mari, les lésions mises en évidence étant peu spécifiques et pouvant être mises en lien avec les importants problèmes d'alcool que l'épouse rencontrait à l'époque. 3.3.2 La conviction des premiers juges en ce qui concerne les faits reprochés au prévenu ne saurait être approuvée. En revanche, les arguments du Ministère public (cf. consid. 3.2.1 supra) sont à cet égard convaincants. Ainsi, pour la Cour de céans, les faits dénoncés par Y.________ sont vrais. Les infractions subies par l'épouse découlent de la révélation de l'infidélité de l'intéressée, qui a fait basculer son mari dans une violence physique, verbale et sexuelle à l'encontre de celle-là. Le premier acte sexuel (cf. acte d'accusation, chiffre 1) suit ainsi immédiatement la scène des amants endormis, et les autres comportements reprochés s'enchaînent jusqu'à l'intervention de la police. Sous cet éclairage, les considérants des premiers juges censés alimenter</w:t>
      </w:r>
    </w:p>
    <w:p>
      <w:r>
        <w:t>- 18 - le doute ne tiennent pas. C'est précisément parce que le prévenu est devenu un mari trompé qu'il n'a plus respecté la liberté sexuelle de son épouse, et c'est lorsqu'il s'est réconcilié avec elle (après intervention de la police) qu'il l'a à nouveau respectée. L'épouse qui s'est sentie coupable a pardonné et décidé de sauver son ménage, sa famille. Par ailleurs, son attitude en procédure consistant à dire la vérité, tout en cherchant au début à échapper aux questions et tout en refusant le statut de victime et de plaignante ne conduit pas à douter de sa sincérité. La sommaire rétractation écrite du 10 décembre 2016 envoyée à l'avocat du mari (P. 22/2) ne vise qu'à obtenir l'arrêt des poursuites pénales et n'est évidemment pas conforme à la vérité comme la déposition d'audience de première instance l'a montré. Du reste, l'absence de lutte de la part de l'épouse durant les actes sexuels tient à son évidente infériorité physique. Même si, à d'autres moments, le mari s'était laissé maltraiter par elle, tel n'était plus le cas lorsqu'il a été brutalement confronté à son cocufiage. Enfin, le constat médical du 14 juillet 2015 (P. 7/2), accompagné de photographies (P. 11) et intégrant le récit de l'épouse, est parfaitement convaincant et s'insère dans le récit détaillé de l'intéressée, notamment la torsion de sa cheville. L'hypothèse de lésions venant de pertes d'équilibre dues à l'alcool ne repose en définitive sur rien. Il résulte de l'ensemble des éléments qui précèdent que l'appel du Ministère public sur les faits doit être admis.</w:t>
      </w:r>
    </w:p>
    <w:p>
      <w:r>
        <w:rPr>
          <w:b/>
        </w:rPr>
        <w:t>E. 4</w:t>
      </w:r>
    </w:p>
    <w:p>
      <w:r>
        <w:t>Il s'agit à présent d'examiner les qualifications juridiques.</w:t>
      </w:r>
    </w:p>
    <w:p>
      <w:r>
        <w:rPr>
          <w:b/>
        </w:rPr>
        <w:t>E. 4.1</w:t>
      </w:r>
    </w:p>
    <w:p>
      <w:r>
        <w:t>L'appelant demande la condamnation du prévenu pour viol s'agissant des chiffres 1 et 3 de l'acte d'accusation du 1er mars 2018, pour contrainte s'agissant du chiffre 2 dudit acte, pour lésions corporelles simples qualifiées s'agissant des chiffres 4.2 et 4.3, pour tentative de viol s'agissant du chiffre 4.2 et pour menaces qualifiées s'agissant des chiffres</w:t>
      </w:r>
    </w:p>
    <w:p>
      <w:r>
        <w:rPr>
          <w:b/>
        </w:rPr>
        <w:t>E. 4.2</w:t>
      </w:r>
    </w:p>
    <w:p>
      <w:r>
        <w:t>a laissé des lésions ayant fait l'objet d'un diagnostic. Le prévenu sera donc entièrement libéré de l'infraction de lésions corporelles simples qualifiées.</w:t>
      </w:r>
    </w:p>
    <w:p>
      <w:r>
        <w:rPr>
          <w:b/>
        </w:rPr>
        <w:t>E. 4.2.1</w:t>
      </w:r>
    </w:p>
    <w:p>
      <w:r>
        <w:t>Celui qui, notamment en usant de menace ou de violence, en exerçant sur sa victime des pressions d’ordre psychique ou en la mettant</w:t>
      </w:r>
    </w:p>
    <w:p>
      <w:r>
        <w:t>- 19 - hors d’état de résister, aura contraint une personne de sexe féminin à subir l’acte sexuel, sera puni d’une peine privative de liberté de un à dix ans (art. 190 al. 1 CP). Le crime réprimé par l'art. 190 CP est une infraction de violence, qui suppose, en règle générale, une agression physique. La violence désigne l'emploi volontaire de la force physique sur la personne de la victime dans le but de la faire céder (ATF 122 IV 97 consid. 2b ; TF 6B_267/2007 du 3 décembre 2007 consid. 6.3 ; TF 6S.688/1997 du 17 décembre 1997 consid. 2b, cité in :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y a tentative si l'exécution d'un crime ou d'un délit n'est pas poursuivie jusqu'à son terme ou que le résultat nécessaire à la consommation de l'infraction ne se produit pas ou ne pouvait pas se produire (art. 22 CP).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w:t>
      </w:r>
    </w:p>
    <w:p>
      <w:r>
        <w:t>- 20 -</w:t>
      </w:r>
    </w:p>
    <w:p>
      <w:r>
        <w:rPr>
          <w:b/>
        </w:rPr>
        <w:t>E. 4.2.2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Aux termes de l'art. 126 al. 2 CP, la poursuite aura lieu d’office si l’auteur a agi à réitérées reprises contre son conjoint durant le mariage ou dans l’année qui a suivi le divorce (let. b). Agir à réitérées reprises au sens de l'art. 126 al. 2 CP signifie agir plusieurs fois sur la même victime d'une manière qui dénote une habitude (ATF 134 IV 191 consid. 1 ; Dupuis et al., Petit commentaire CP, 2e éd., Bâle 2017, n. 13 ad art. 126 CP). La jurisprudence a admis que cette condition était réalisée dans un cas où l'auteur a frappé des enfants (cf. art. 126 al. 2 let. a CP), sous le prétexte de les éduquer, une dizaine de fois en l'espèce de trois ans (ATF 129 IV 222 s. consid. 3.2) ; deux fois ne suffiraient pas (cf. Corboz, op. cit., n. 22 ad 126 CP, p.158, et les références citées).</w:t>
      </w:r>
    </w:p>
    <w:p>
      <w:r>
        <w:rPr>
          <w:b/>
        </w:rPr>
        <w:t>E. 4.2.3</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3 CP vise le cas où l'auteur est le conjoint de la victime et que l’atteinte a été commise durant le mariage ou l’année qui a suivi le divorce ; dans ce cas de figure, la poursuite a lieu d’office.</w:t>
      </w:r>
    </w:p>
    <w:p>
      <w:r>
        <w:rPr>
          <w:b/>
        </w:rPr>
        <w:t>E. 4.2.4</w:t>
      </w:r>
    </w:p>
    <w:p>
      <w:r>
        <w:t>Celui qui, par une menace grave, aura alarmé ou effrayé une personne sera, sur plainte, puni d’une peine privative de liberté de trois ans au plus ou d’une peine pécuniaire (art. 180 al. 1 CP). La poursuite aura lieu d’office si l’auteur est le conjoint de la victime et que la menace a été commise durant le mariage ou dans l’année qui a suivi le divorce (al. 2 let. b).</w:t>
      </w:r>
    </w:p>
    <w:p>
      <w:r>
        <w:t>- 21 -</w:t>
      </w:r>
    </w:p>
    <w:p>
      <w:r>
        <w:rPr>
          <w:b/>
        </w:rPr>
        <w:t>E. 4.3</w:t>
      </w:r>
    </w:p>
    <w:p>
      <w:r>
        <w:t>et 5.</w:t>
      </w:r>
    </w:p>
    <w:p>
      <w:r>
        <w:rPr>
          <w:b/>
        </w:rPr>
        <w:t>E. 4.3.1</w:t>
      </w:r>
    </w:p>
    <w:p>
      <w:r>
        <w:t>En l'occurrence, s'agissant du chiffre 1 de l'acte d'accusation, le prévenu est monté sur son épouse et a voulu faire l'amour avec elle. Celle-ci l'a repoussé à plusieurs reprises en lui disant qu'elle ne voulait pas. Le prévenu a toutefois enlevé les sous-vêtements de cette dernière et l'a pénétrée. Le prévenu a usé de contrainte physique pour imposer à son épouse un acte sexuel. Il s'est dès lors rendu coupable de viol.</w:t>
      </w:r>
    </w:p>
    <w:p>
      <w:r>
        <w:rPr>
          <w:b/>
        </w:rPr>
        <w:t>E. 4.3.2</w:t>
      </w:r>
    </w:p>
    <w:p>
      <w:r>
        <w:t>S'agissant du chiffre 2 de l'acte d'accusation, le prévenu a obligé son épouse à demander pardon à leurs enfants. Il paraît, à ce stade, s'être rendu coupable de contrainte. Pour les motifs exposés ci-après, l'infraction ne sera toutefois pas retenue (cf. consid. 4.3.8 infra). En outre, le prévenu a, à plusieurs reprises, craché sur son épouse, au visage et dans les cheveux. Il paraît ainsi s'être également rendu coupable de voies de fait. Cette contravention n'est pas prescrite, le délai de 3 ans selon l'art. 109 CP ayant été interrompu par le jugement d'acquittement (cf. Dupuis et al., op. cit., n. 13 ad 126 CP). L'élément objectif de la commission à réitérées reprises, soit dénotant une habitude, n'est toutefois pas réalisé. Le prévenu sera donc libéré de l'infraction de voies de fait qualifiées. Du reste, l'acquittement de cette contravention est définitif dès lors que l'appel ne le remet pas en question.</w:t>
      </w:r>
    </w:p>
    <w:p>
      <w:r>
        <w:rPr>
          <w:b/>
        </w:rPr>
        <w:t>E. 4.3.3</w:t>
      </w:r>
    </w:p>
    <w:p>
      <w:r>
        <w:t>S'agissant du chiffre 3 de l'acte d'accusation, le prévenu a usé de contrainte physique et psychique pour imposer à son épouse un acte sexuel, soit en exploitant la présence des enfants endormis que la victime ne voulait pas confronter à la scène en les réveillant. Il s'est dès lors rendu coupable de viol.</w:t>
      </w:r>
    </w:p>
    <w:p>
      <w:r>
        <w:rPr>
          <w:b/>
        </w:rPr>
        <w:t>E. 4.3.4</w:t>
      </w:r>
    </w:p>
    <w:p>
      <w:r>
        <w:t>S'agissant du chiffre 4.1 de l'acte d'accusation, le prévenu a voulu avoir un rapport sexuel et son épouse, qui ne le voulait pas, s'est laissée faire. La qualification de viol est envisageable, mais la libération du prévenu n'est pas remise en question dans l'appel. Celle-ci doit dès lors être confirmée, l'acte d'accusation n'indiquant pas au demeurant les moyens de contrainte utilisés ni la réalisation de l'élément subjectif.</w:t>
      </w:r>
    </w:p>
    <w:p>
      <w:r>
        <w:t>- 22 -</w:t>
      </w:r>
    </w:p>
    <w:p>
      <w:r>
        <w:rPr>
          <w:b/>
        </w:rPr>
        <w:t>E. 4.3.5</w:t>
      </w:r>
    </w:p>
    <w:p>
      <w:r>
        <w:t>S'agissant du chiffre 4.2 de l'acte d'accusation, le prévenu a notamment usé de contrainte physique dans le but d'imposer un acte sexuel à son épouse qui le repoussait. Il s'est dès lors rendu coupable de tentative de viol.</w:t>
      </w:r>
    </w:p>
    <w:p>
      <w:r>
        <w:rPr>
          <w:b/>
        </w:rPr>
        <w:t>E. 4.3.6</w:t>
      </w:r>
    </w:p>
    <w:p>
      <w:r>
        <w:t>supra) et de contrainte (cf. consid. 4.3.2 supra), mais également de lésions corporelles simples qualifiées, le Ministère public n'a pas fait application de l'art. 55a CP en suspendant la procédure pénale, comprenant il est vrai aussi des préventions de viol, avec l'accord de la victime. Or, l'attitude de pardon et de renoncement à se plaindre, ainsi que la poursuite de sa vie de famille, démontrent qu'elle aurait donné son</w:t>
      </w:r>
    </w:p>
    <w:p>
      <w:r>
        <w:t>- 23 - accord et qu'elle ne l'aurait pas révoqué dans les 6 mois, ce qui aurait abouti au classement de la procédure. Il faut raisonner par analogie en considérant au vu du temps écoulé et de l'attitude constante de réconciliation de l'épouse qu'elle aurait donné son consentement à la suspension et ne l'aurait pas révoqué si la question lui avait été posée dans la période précédant le jugement de première instance. En effet, malgré la formulation potestative de l'art. 55a al. 1 CP, il est manifeste que la victime n'a pas voulu de condamnation pour lésions corporelles simples, menaces et contrainte. Certes, l'art. 55a CP ne s'applique pas en cas de viol (cf. Dupuis et al., op. cit., n. 4 ad art. 55a CP ; FF 2003 1764), mais la loi n'envisage pas clairement l'hypothèse, dans la même cause, de certaines infractions soumises à la procédure de suspension et d'autres qui en sont exclues, ni surtout que les secondes excluraient la suspension des premières, le but du législateur étant d'assurer dans un premier temps la poursuite pénale d'office de la violence domestique, mais de donner dans un deuxième temps à la victime qui entend privilégier la réconciliation familiale la possibilité de favoriser l'abandon des poursuites. Au vu de ce qui précède, il se justifie de libérer le prévenu des infractions de menaces, contrainte et lésions corporelles. L'appel du Ministère public est donc écarté sur ces points.</w:t>
      </w:r>
    </w:p>
    <w:p>
      <w:r>
        <w:rPr>
          <w:b/>
        </w:rPr>
        <w:t>E. 4.3.7</w:t>
      </w:r>
    </w:p>
    <w:p>
      <w:r>
        <w:t>S'agissant encore des chiffres 4.2 et 4.3 de l'acte d'accusation, le prévenu a encore a serré son épouse au cou, l'a griffée et en lui a tordu la cheville. Il paraît ainsi s'être rendu coupable de lésions corporelles simples qualifiées. Toutefois les lésions du chiffre 4.2 sont absorbées, donc non punissables distinctement, par la tentative de viol avec usage de la force (cf. Dupuis et al., op. cit., n. 28 ad art. 123 CP). Quant à la lésion du cou du chiffre 4.3, elle se superpose à la lésion absorbée du chiffre 4.2, si bien qu'au bénéfice du doute on retiendra que seul le serrage du cou du chiffre</w:t>
      </w:r>
    </w:p>
    <w:p>
      <w:r>
        <w:rPr>
          <w:b/>
        </w:rPr>
        <w:t>E. 4.3.8</w:t>
      </w:r>
    </w:p>
    <w:p>
      <w:r>
        <w:t>S'agissant des infractions de menaces qualifiées (cf. consid.</w:t>
      </w:r>
    </w:p>
    <w:p>
      <w:r>
        <w:rPr>
          <w:b/>
        </w:rPr>
        <w:t>E. 5</w:t>
      </w:r>
    </w:p>
    <w:p>
      <w:r>
        <w:t>Cela étant, il reste à fixer la peine.</w:t>
      </w:r>
    </w:p>
    <w:p>
      <w:r>
        <w:rPr>
          <w:b/>
        </w:rPr>
        <w:t>E. 5.1</w:t>
      </w:r>
    </w:p>
    <w:p>
      <w:r>
        <w:t>Le Parquet demande le prononcé d’une peine privative de liberté de 3 ans, l’exécution de la peine étant suspendue pour 24 mois, avec un délai d’épreuve de 3 ans.</w:t>
      </w:r>
    </w:p>
    <w:p>
      <w:r>
        <w:rPr>
          <w:b/>
        </w:rPr>
        <w:t>E. 5.2.1</w:t>
      </w:r>
    </w:p>
    <w:p>
      <w:r>
        <w:t>Le juge fixe la peine d’après la culpabilité de l’auteur (art. 47 CP). Il prend en considération les antécédents et la situation personnelle</w:t>
      </w:r>
    </w:p>
    <w:p>
      <w:r>
        <w:t>- 24 -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5.2.3</w:t>
      </w:r>
    </w:p>
    <w:p>
      <w:r>
        <w:t>Aux termes de l’art. 48 let. c CP, le juge atténue la peine si l’auteur a agi en proie à une émotion violente que les circonstances rendaient excusable ou s’il a agi dans un état de profond désarroi.</w:t>
      </w:r>
    </w:p>
    <w:p>
      <w:r>
        <w:t>- 25 -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 ATF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 ATF 118 IV 233 consid. 2a p. 236). L'état d'émotion violente ou de profond désarroi doit être rendu excusable par les circonstances (ATF 119 IV 203 consid. 2a ; ATF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 ATF 107 IV 103 consid. 2b/bb). Il doit par ailleurs s'agir de circonstances objectives, de sorte qu'il faut se demander si un tiers raisonnable, placé dans la même situation que l'auteur, se serait trouvé dans le même état (ATF 108 IV 99 consid. 3b ; ATF 107 IV 103 consid. 2b/bb). Pour que la circonstance atténuante invoquée puisse être prise en considération, il faut en outre qu'il existe une certaine proportionnalité entre les circonstances objectives, d'une part, et la réaction de l'auteur,</w:t>
      </w:r>
    </w:p>
    <w:p>
      <w:r>
        <w:t>- 26 - d'autre part (TF 6B_622/2008 du 13 janvier 2009 consid. 8.1 ; TF 6B_517/2008 du 27 août 2008 consid. 5.3.2).</w:t>
      </w:r>
    </w:p>
    <w:p>
      <w:r>
        <w:rPr>
          <w:b/>
        </w:rPr>
        <w:t>E. 5.2.4</w:t>
      </w:r>
    </w:p>
    <w:p>
      <w:r>
        <w:t>Aux termes de l’art. 48 let. e CP, le juge atténue la peine si l'intérêt à punir a sensiblement diminué en raison du temps écoulé depuis l'infraction et que l'auteur s'est bien comporté dans l'intervalle.</w:t>
      </w:r>
    </w:p>
    <w:p>
      <w:r>
        <w:rPr>
          <w:b/>
        </w:rPr>
        <w:t>E. 5.2.5</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1er janvier 2018 (RO 2016 1249;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w:t>
      </w:r>
    </w:p>
    <w:p>
      <w:r>
        <w:t>- 27 - 6B_171/2007 du 23 juillet 2007 consid. 4). Le juge dispose d'un large pouvoir d'appréciation en la matière (TF 6B_392/2016 du 10 novembre 2016 ; ATF 134 IV 1 consid. 5.2).</w:t>
      </w:r>
    </w:p>
    <w:p>
      <w:r>
        <w:rPr>
          <w:b/>
        </w:rPr>
        <w:t>E. 5.3</w:t>
      </w:r>
    </w:p>
    <w:p>
      <w:r>
        <w:t>En l'espèce, le prévenu a commis, à deux reprises, un viol, soit un crime punissable d’une peine privative de liberté de un à dix ans (art. 190 al. 1 CP), ainsi qu'une tentative de viol, le tout avec violence. Pour la Cour de céans, la culpabilité de l'intéressé se situe au bas de l'échelle de la gravité. S'il faut retenir, à charge, le concours d'infractions, il faut prendre en considération en tant que circonstances atténuantes – en sus de la tentative pour l'un des cas – les maltraitances physiques et psychiques subies au long cours par le prévenu auparavant en lien avec les abus d'alcool de Y.________, et, surtout, l'état d'émotion violente suscité chez l'intéressé par la découverte du comportement adultère de son épouse, et le profond désarroi qui en a résulté. Cet état est rendu excusable par les circonstances, en particulier par l'attitude critiquable de la victime. A ces éléments à décharge s'ajoutent le bon comportement du prévenu depuis les faits à l'égard de son épouse, ainsi que sa bonne conduite générale, l'intéressé disposant d'un travail et d'un casier judiciaire vierge. Tout bien considéré, une peine privative de liberté de 12 mois est adéquate pour réprimer les infractions commises. En l’absence d’antécédents, cette peine peut être assortie du sursis complet, dont le prévenu remplit les conditions tant objectives que subjectives, le délai d’épreuve étant pour le surplus fixé à 2 ans.</w:t>
      </w:r>
    </w:p>
    <w:p>
      <w:r>
        <w:rPr>
          <w:b/>
        </w:rPr>
        <w:t>E. 6.1</w:t>
      </w:r>
    </w:p>
    <w:p>
      <w:r>
        <w:t>S'agissant des frais de première instance, qui s’élèvent à 4'160 fr., compte tenu de la condamnation du prévenu, il se justifie de mettre ce frais par moitié à sa charge, soit par à 2'080 fr., le solde étant laissé à la charge de l’Etat.</w:t>
      </w:r>
    </w:p>
    <w:p>
      <w:r>
        <w:t>- 28 -</w:t>
      </w:r>
    </w:p>
    <w:p>
      <w:r>
        <w:rPr>
          <w:b/>
        </w:rPr>
        <w:t>E. 6.2</w:t>
      </w:r>
    </w:p>
    <w:p>
      <w:r>
        <w:t>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L’art. 430 al. 1 CPP dispose que l’autorité pénale peut réduire ou refuser cette indemnité notamment si le prévenu a provoqué illicitement et fautivement l’ouverture de la procédure ou a rendu plus difficile sa conduite.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w:t>
      </w:r>
    </w:p>
    <w:p>
      <w:r>
        <w:rPr>
          <w:b/>
        </w:rPr>
        <w:t>E. 6.3</w:t>
      </w:r>
    </w:p>
    <w:p>
      <w:r>
        <w:t>Libéré entièrement par les premiers juges, X.________ est, en définitive, condamné pour deux viols et une tentative de viol. Ainsi, il n'est plus que partiellement acquitté. Assisté d’un mandataire de choix, il a toutefois droit à une indemnité de l’art. 429 CPP. Vu le sort de ses conclusions en appel, l'indemnité allouée par le Tribunal correctionnel à titre de remboursement des dépenses obligatoires occasionnées par la</w:t>
      </w:r>
    </w:p>
    <w:p>
      <w:r>
        <w:t>- 29 - procédure, d’un montant de 10'000 fr., sera réduite de moitié. C’est donc une indemnité de 5'000 fr. qui doit être allouée au prévenu pour ses frais de défense en première instance.</w:t>
      </w:r>
    </w:p>
    <w:p>
      <w:r>
        <w:rPr>
          <w:b/>
        </w:rPr>
        <w:t>E. 7</w:t>
      </w:r>
    </w:p>
    <w:p>
      <w:r>
        <w:t>Vu l’issue de l'appel, l’émolument d’arrêt, par 3'010 fr., (art. 21 al. 1 et 2 TFIP [Tarif des frais de procédure et indemnités en matière pénale du 28 septembre 2010; RSV 312.03.1]), sera mis par moitié, soit par 1'505 fr., à la charge de X.________, le Ministère public ne l’emportant que partiellement (art. 428 al. 1, 1re phrase, CPP), le solde étant laissé à la charge de l'Etat. Ainsi, partiellement acquitté, le prévenu a droit à une indemnité de l’art. 429 CPP. Toujours assisté d’un mandataire de choix, il prétend au versement d'un montant correspondant à 10 heures d'activité d'avocat. Au tarif horaire de 300 fr., soit le tarif moyen prévu par l’art. 26a al. 3, 1ère phrase, TFIP, plus 7.7% de TVA, le montant réclamé s'élève ainsi à 3'231 francs. Ce montant sera toutefois réduit par moitié, vu la mise à la charge du prévenu de la moitié des frais. C’est donc une indemnité de 1'615 fr. 50 qui doit lui être allouée pour ses frais de défense en deuxième instance. A cet égard, le dispositif communiqué aux parties le 1er novembre 2018 contient une erreur manifeste à son chiffre III, en tant qu'il mentionne le montant de 1’615 fr., et non celui de 1'615 fr. 50. En application de l'art. 83 CPP, il convient de rectifier de cette erreur.</w:t>
      </w:r>
    </w:p>
    <w:p>
      <w:r>
        <w:rPr>
          <w:b/>
        </w:rPr>
        <w:t>E. 8</w:t>
      </w:r>
    </w:p>
    <w:p>
      <w:r>
        <w:t>Selon l’art. 442 al. 4 CPP, les autorités pénales peuvent compenser les créances portant sur des frais de procédure avec les indemnités accordées à la partie débitrice dans la même procédure pénale et avec des valeurs séquestrées. En l’occurrence, il faut imputer, en application de la disposition précitée, sur le montant des indemnités de 1ère et 2ème instances dues à X.________, correspondant à 6'615 fr. (5'000 fr. + 1'615 fr. 50), le montant</w:t>
      </w:r>
    </w:p>
    <w:p>
      <w:r>
        <w:t>- 30 - des frais de 1ère et 2ème instances mis à sa charge, correspondant à 3'585 fr. (2'080 fr. + 1'505 fr.), ce qui laisse un solde en sa faveur de 3'030 fr. 50.</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