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PE15.016079 vom 28. Oktober 2015</w:t>
      </w:r>
    </w:p>
    <w:p>
      <w:r>
        <w:t>VD Tribunal cantonal, 2015-10-28, FR</w:t>
      </w:r>
    </w:p>
    <w:p>
      <w:r>
        <w:rPr>
          <w:b/>
        </w:rPr>
        <w:t xml:space="preserve">Quelle: </w:t>
      </w:r>
      <w:r>
        <w:t>https://mcp.opencaselaw.ch/entscheid/vd_gerichte_PE15.016079</w:t>
      </w:r>
    </w:p>
    <w:p>
      <w:r>
        <w:t>FR: VD_GERICHTE PE15.016079 du 28 octobre 2015</w:t>
      </w:r>
    </w:p>
    <w:p>
      <w:r>
        <w:t>IT: VD_GERICHTE PE15.016079 del 28 ottobre 2015</w:t>
      </w:r>
    </w:p>
    <w:p>
      <w:pPr>
        <w:pStyle w:val="Heading2"/>
      </w:pPr>
      <w:r>
        <w:t>Erwägungen</w:t>
      </w:r>
    </w:p>
    <w:p>
      <w:r>
        <w:rPr>
          <w:b/>
        </w:rPr>
        <w:t>E. 3.1</w:t>
      </w:r>
    </w:p>
    <w:p>
      <w:r>
        <w:t>Se rend coupable de menaces (180 CP)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et TF 6B_435/2011 du 6 octobre 2011 consid.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consid. 1a). Subjectivement, l'auteur doit avoir l'intention non seulement de proférer des menaces graves, mais aussi d'alarmer ou d'effrayer le destinataire. Le dol éventuel suffit.</w:t>
      </w:r>
    </w:p>
    <w:p>
      <w:r>
        <w:rPr>
          <w:b/>
        </w:rPr>
        <w:t>E. 3.2</w:t>
      </w:r>
    </w:p>
    <w:p>
      <w:r>
        <w:t>Se rend coupable de contrainte au sens de l’art. 181 CP celui qui, en usant de violence envers une personne ou en la menaçant d’un dommage sérieux ou en l’entravant de quelque autre manière dans sa</w:t>
      </w:r>
    </w:p>
    <w:p>
      <w:r>
        <w:t>- 6 - liberté d’action, l’aura obligée à faire, à ne pas faire ou à laisser faire un acte. La contrainte est illicite lorsque le moyen ou le but est contraire au droit ou encore lorsque le moyen est disproportionné pour atteindre le but visé (ATF 134 IV 216 consid. 4.1 ; ATF 129 IV 6 consid. 3.4 ;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 ATF 120 IV 17 consid. 2a/aa). En outre, par « entraver de quelque autre manière dans la liberté d'action », il faut comprendre tout moyen de contrainte qui est semblable, par son intensité et ses effets, à celui que le texte légal mentionne expressément en parlant d'usage de la violence et qui, d'après l'interprétation de la notion de violence, peut y être assimilé (ATF 119 IV 301 consid. 2a, JdT 1995 IV 147; ATF 129 IV 262 consid. 2.1, JdT 2005 IV 207). Sur le plan subjectif, il faut que l’auteur ait agi avec conscience et volonté, soit au moins qu’il ait accepté l’éventualité que le procédé illicite employé entrave le destinataire dans sa liberté de décision (ATF 120 IV 17 consid. 2c ; TF 6B_38/2011 du 26 avril 2011 consid. 2.2.1).</w:t>
      </w:r>
    </w:p>
    <w:p>
      <w:r>
        <w:rPr>
          <w:b/>
        </w:rPr>
        <w:t>E. 3.3</w:t>
      </w:r>
    </w:p>
    <w:p>
      <w:r>
        <w:t>En l’espèce, D.________ soutient que le fait qu’H.________ lui ait enlevé les fusibles l’aurait entravée dans sa liberté d’action. Comme l’a relevé le Procureur, ces faits, certes inadmissibles, ne sont toutefois pas suffisamment caractérisés pour fonder une contrainte au sens défini ci-dessus. Le comportement du prénommé a certes causé un certain inconvénient à la plaignante, mais pas à tel point que celle-ci « n’osait plus bouger » et qu’elle craignait, comme elle le prétend (recours, p. 4, par. 3), une agression imminente de son ex-mari, celui-ci se trouvant, selon les explications de la recourante elle-même, à l’extérieur de l’appartement. Le fait d’enlever les fusibles ne constitue donc pas une (tentative de) contrainte, faute d’effets comparables à ceux de la violence (consid. 3.2 supra), ni une menace d’un dommage sérieux. Quant aux termes « tu verras », ils ne sont pas non plus constitutifs de</w:t>
      </w:r>
    </w:p>
    <w:p>
      <w:r>
        <w:t>- 7 - menaces graves au sens de l’art. 180 CP précité (consid. 3.1 supra). Comme on l’a vu ci-avant, le fait que le destinataire ait conscience d’être menacé n’est pas suffisant, mais il faut qu’il ait effectivement été alarmé ou effrayé, soit qu’il ait été psychologiquement perturbé de manière à ce que sa liberté de former sa volonté ait été ou ait pu être entravée (ATF 106 IV 125 consid. 1a). Tel n’est pas le cas en l’occurrence et l’enclenchement par l’intéressée de l’alarme agression n’est pas déterminant à cet égard. Il suffit de relever, comme l’a fait à juste titre le Procureur (P. 8, p. 2), que dans sa plainte, la recourante a précisé « Je pense qu’il (ndlr : H.________) a dit "tu verras" », sans pouvoir ainsi être catégorique sur ce point (P. 4, p. 4). Telle que décrite, la menace ne saurait dès lors être qualifiée de grave. Force est d’ailleurs de constater que dans son courrier au Ministère public du 10 août 2015, le conseil de la recourante a qualifié les faits du 5 août 2015 uniquement de « dommages à la propriété et de violation de domicile », et non de menaces ou de contrainte.</w:t>
      </w:r>
    </w:p>
    <w:p>
      <w:r>
        <w:rPr>
          <w:b/>
        </w:rPr>
        <w:t>E. 3.4</w:t>
      </w:r>
    </w:p>
    <w:p>
      <w:r>
        <w:t>Pour le reste, il ressort du courrier précité ainsi que du recours (p. 4, par. 4) que la plaignante estime être victime de stalking au vu de la « multiplicité des agressions » dont elle affirme avoir fait l’objet ces derniers temps. Comme la Cour de céans a eu l’occasion de le préciser (CREP 21 mai 2015/354, consid. 5.1), un tel comportement n’est pas érigé en infraction autonome, mais peut, à certaines conditions, comme on le verra ci-dessous, être assimilé à de la contrainte au sens de l’art. 181 CP.</w:t>
      </w:r>
    </w:p>
    <w:p>
      <w:r>
        <w:rPr>
          <w:b/>
        </w:rPr>
        <w:t>E. 3.4.1</w:t>
      </w:r>
    </w:p>
    <w:p>
      <w:r>
        <w:t>Le « stalking » (persécution obsessionnelle) est le fait d'espionner, de rechercher continuellement la proximité physique (poursuite), de harceler et de menacer autrui, lorsque le comportement en question survient au moins à deux reprises et provoque chez la victime une grande frayeur (ATF 129 IV 262 consid. 2.3, JdT 2005 IV 207). Bien qu'aucune disposition pénale ne réprime spécifiquement le stalking, il n'est pas exclu qu'un tel comportement réalise les éléments constitutifs de l'infraction de contrainte (TF 6B_819/2010 du 3 mai 2011 consid. 4 et 5; ATF 129 IV 262 consid. 2.3, JdT 2005 IV 207).</w:t>
      </w:r>
    </w:p>
    <w:p>
      <w:r>
        <w:t>- 8 -</w:t>
      </w:r>
    </w:p>
    <w:p>
      <w:r>
        <w:rPr>
          <w:b/>
        </w:rPr>
        <w:t>E. 3.4.2</w:t>
      </w:r>
    </w:p>
    <w:p>
      <w:r>
        <w:t>En l’espèce, les allégations de la recourante et les pièces produites à l’appui de son recours ne permettent pas de supposer qu’elle ait été victime d’une forme de « harcèlement » susceptible de tomber sous la qualification pénale de contrainte. Les faits dont elle se plaint sont, au point de vue de la fréquence et de la gravité, sans rapport aucun avec ceux qui ont donné lieu à l’ATF 129 IV 262 auquel elle se réfère d’ailleurs dans son recours (p. 4, par. 4). Dans cet arrêt, le Tribunal fédéral a jugé que les agissements de l’auteur, consistant, tout en exprimant des menaces graves, à se rendre plus de cent vingt fois en une année sur le parking d’une institution, en y demeurant des heures, au mépris d’une injonction du service de sécurité et d’une interdiction d’entrer, en vue de forcer les responsables à s’entretenir avec lui de son avenir professionnel, constituaient des actes de contrainte. Il a en revanche considéré, dans un autre cas, que 379 appels téléphoniques sur une durée d’un mois visant à convaincre un voisin de s’abstenir d’utiliser une installation de chauffage à bois ne constituaient pas une tentative de contrainte, faute d’effets comparables à ceux de la violence (TF 6B_320/2007 du 16 novembre 2007 consid. 4.2). On constate ainsi que la jurisprudence fédérale se montre restrictive pour retenir l’infraction de contrainte dans des cas de « harcèlement ». Si une forme de harcèlement devait être retenue dans le cas présent, il s’agirait d’une forme d’atteinte aux droits de la personnalité, ce qui ressortit aux juridictions civiles. L’infraction de contrainte pouvant ainsi d’emblée être exclue avec certitude, le refus d’entrer en matière est également bien fondé sur ce point.</w:t>
      </w:r>
    </w:p>
    <w:p>
      <w:r>
        <w:rPr>
          <w:b/>
        </w:rPr>
        <w:t>E. 4</w:t>
      </w:r>
    </w:p>
    <w:p>
      <w:r>
        <w:t>En définitive, le recours doit être rejeté et l'ordonnance attaquée confirmée. Par identité de motifs, une action civile exercée par adhésion à la procédure pénale (art. 122 al. 1 CPP) apparaîtrait vouée à l'échec au sens de l’art. 136 al. 1 let. b CPP a contrario. Les conditions qui permettraient d’accorder, même partiellement, l'assistance judiciaire à la</w:t>
      </w:r>
    </w:p>
    <w:p>
      <w:r>
        <w:t>- 9 - partie plaignante pour lui permettre de faire valoir ses prétentions civiles ne sont dès lors pas réunies. La requête d’assistance judiciaire gratuite pour la procédure de recours doit donc être rejetée. Les frais de la procédure de recours, constitués en l’espèce du seul émolument d’arrêt (art. 422 al. 1 CPP), par 880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18 août 2015 est confirmée. III. La requête d’assistance judiciaire gratuite pour la procédure de recours est rejetée. IV. Les frais d’arrêt, par 880 fr. (huit cent huitante francs), sont mis à la charge de D.________. V. Le présent arrêt est exécutoire. Le président : Le greffier : Du Le présent arrêt, dont la rédaction a été approuvée à huis clos, est notifié, par l'envoi d'une copie complète, à : - Mme Charlotte Iselin, avocate (pour D.________), - Ministère public central,</w:t>
      </w:r>
    </w:p>
    <w:p>
      <w:r>
        <w:t>- 10 -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