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PE15.015320 vom 21. September 2016</w:t>
      </w:r>
    </w:p>
    <w:p>
      <w:r>
        <w:t>VD Tribunal cantonal, 2016-09-21, FR</w:t>
      </w:r>
    </w:p>
    <w:p>
      <w:r>
        <w:rPr>
          <w:b/>
        </w:rPr>
        <w:t xml:space="preserve">Quelle: </w:t>
      </w:r>
      <w:r>
        <w:t>https://mcp.opencaselaw.ch/entscheid/vd_gerichte_PE15.015320</w:t>
      </w:r>
    </w:p>
    <w:p>
      <w:r>
        <w:t>FR: VD_GERICHTE PE15.015320 du 21 septembre 2016</w:t>
      </w:r>
    </w:p>
    <w:p>
      <w:r>
        <w:t>IT: VD_GERICHTE PE15.015320 del 21 settembre 2016</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 2e éd., Bâle 2014, n. 10 ad art. 393 CPP; Hug, in : Donatsch/Hansjakob/Lieber (éd.), Kommentar zur Schweizerischen Strafprozessordnung, 2e éd., 2014, n. 17 ad art. 236 CPP; CREP 17 novembre 2015/745 ; CREP 30 janvier 2013/34;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w:t>
      </w:r>
    </w:p>
    <w:p>
      <w:r>
        <w:t>- 4 - d’introduction du code de procédure pénale suisse; RSV 312.01]; art. 80 LOJV [loi d’organisation judiciaire; RSV 173.01]). En l’espèce, il y a lieu d’entrer en matière sur le recours, qui a été interjeté en temps utile devant l’autorité compétente par le prévenu qui a qualité pour recourir (art. 382 al. 1 CPP) et satisfait aux conditions de forme posées par l’art. 385 al. 1 CPP.</w:t>
      </w:r>
    </w:p>
    <w:p>
      <w:r>
        <w:rPr>
          <w:b/>
        </w:rPr>
        <w:t>E. 2.1</w:t>
      </w:r>
    </w:p>
    <w:p>
      <w:r>
        <w:t>Le recourant soutient que l’ordonnance du 29 juillet 2016 constituerait une révocation de l’autorisation accordée le 25 juillet 2016, sans aucun fait nouveau de la part du recourant ou concernant l’enquête dont il fait l’objet. Cette nouvelle décision reposerait uniquement sur le refus de l’OEP d’exécuter l’ordonnance du 25 juillet 2016 conformément à son libellé, alors que l’art. 236 al. 4 CPP prévoit expressément que le régime de l’exécution anticipée de peine peut être assorti de restrictions et qu’il ressort du règlement sur le statut des condamnés exécutant une peine privative de liberté et les régimes de détention applicables (RSC ; RSV 340.01.1) que tant la correspondance (art. 91 RSC) que les colis (art. 92 RSC) que les conversations téléphoniques, qui sont enregistrées (art. 93 al. 5 RSC), peuvent être contrôlés.</w:t>
      </w:r>
    </w:p>
    <w:p>
      <w:r>
        <w:rPr>
          <w:b/>
        </w:rPr>
        <w:t>E. 2.2</w:t>
      </w:r>
    </w:p>
    <w:p>
      <w:r>
        <w:t>Aux termes de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au prévenu de meilleures chances de resocialisation dans le cadre de l’exécution de la peine avant même que le jugement n’entre en force (TF 1B_426/2012 du 3 août 2012 consid. 2.1; TF 1B_90/2012 du 21 mars 2012 consid. 2.2; TF 1B_18/2012 du 27 janvier 2012 consid. 2; ATF 133 IV 270 consid. 3.2.1 p. 177, JdT 2011 IV 3, spéc. p. 9). La poursuite de la</w:t>
      </w:r>
    </w:p>
    <w:p>
      <w:r>
        <w:t>- 5 - détention sous la forme de l’exécution anticipée de la peine suppose l’existence d’un motif de détention provisoire particulier, comme le risque de collusion ou le risque de fuite (TF 1B_90/2012 précité; ATF 117 Ia 72; Robert-Nicoud, in : Kuhn/ Jeanneret [éd.], Commentaire romand, Code de procédure pénale suisse, Bâle 2011, n. 4 ad art. 236 CPP). L’art. 236 al. 1 CP fait dépendre l’autorisation d’exécution de peine de manière anticipée du stade auquel se trouve la procédure. Par « stade de la procédure » permettant une telle exécution, il faut comprendre le moment à partir duquel la présence du prévenu n’est plus immédiatement nécessaire à l’administration de la preuve (Robert-Nicoud, op. cit., n. 4 ad art. 236 CPP; Hug, in : Donatsch/ Hansjakob/Lieber [éd.], op. cit.,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in : Niggli/Heer/Wiprächtiger [éd.], op. cit., n. 13 ad art. 236 CPP et les références citées).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manœuvres de collusion aussi efficacement que le cadre de la détention préventive. L’exécution anticipée de la peine doit ainsi être refusée lorsqu’un risque élevé de collusion demeure de sorte que le but de la détention et les besoins de l’instruction seraient compromis (cf. ATF 133 I 270 consid. 3.2.1 p. 278 ; arrêt 1B_90/2012 du 21 mars 2012 consid. 2.2 et les arrêts cités ; TF 1B_415/2012 du 25 juillet 2012 ; TF 1B_426/2012 du 3 août 2012). Ainsi, l’autorisation d’exécuter une peine de manière anticipée ne saurait être refusée in abstracto en raison du risque de collusion. Bien plutôt, selon le Tribunal fédéral (TF 1B_90/2012 du 21 mars 2012 consid. 2.2), l’autorité doit, d’une part, étayer ce risque par des faits concrets et précis et, d’autre part, examiner si le régime de la détention, même restreint en application de l’art. 236 al.</w:t>
      </w:r>
    </w:p>
    <w:p>
      <w:r>
        <w:t>- 6 -</w:t>
      </w:r>
    </w:p>
    <w:p>
      <w:r>
        <w:rPr>
          <w:b/>
        </w:rPr>
        <w:t>E. 2.3</w:t>
      </w:r>
    </w:p>
    <w:p>
      <w:r>
        <w:t>En l’espèce, il résulte de l’ordonnance attaquée que le 18 avril 2016, les policiers suisses ont été informés par leurs homologues espagnols, via Interpol Madrid, qu'une opération intitulée WIDOW avait été menée dans la région de Grenade à l'encontre d'une organisation se livrant à la culture, au stockage et à la vente d'importantes quantités de marijuana. Cette opération a abouti, en février 2015, à plusieurs arrestations. Il est ressorti de cette enquête qu'E.________ était un acheteur de produits cannabiques et qu'il avait importé cette marchandise en Suisse (procédure [...]). Dès lors que plusieurs comparses du prévenu n'avaient pas encore été identifiés, la procureure a indiqué qu’une demande d'entraide judiciaire internationale avait été adressée le 9 mai 2016 aux autorités espagnoles afin d'obtenir une copie de leur procédure et qu’une fois ces documents reçus, d'autres opérations et notamment l'audition d'éventuels autres comparses d’E.________ pourraient être ordonnées. Ainsi, au vu des mesures d’instruction en cours, de l’ampleur du trafic de stupéfiants et de la gravité des faits qui sont reprochés au prévenu, le risque de collusion est très important. Or les modalités d’une exécution anticipée de peine permettraient facilement au prévenu de contacter ses comparses, ce qui pourrait sérieusement compromettre l’enquête qui est loin d’être close. Certes, le risque de collusion aurait sans doute pu être efficacement prévenu en exécution anticipée de peine par les mesures décidées par la procureure dans son ordonnance du 25 juillet 2016. Il s’avère toutefois qu’il n’est en particulier pas possible de soumettre à autorisation préalable les appels téléphoniques du recourant, pour le motif que les détenus ont libre accès aux cabines téléphoniques au sein du cellulaire durant les horaires prescrits et que seuls des contrôles a posteriori peuvent avoir lieu. Le risque de collusion ne peut dès lors être efficacement écarté dans le cadre d’une exécution anticipée de peine. Ce régime doit donc être refusé au recourant.</w:t>
      </w:r>
    </w:p>
    <w:p>
      <w:r>
        <w:t>- 7 - 3. Il résulte de ce qui précède que le recours doit être rejeté et l’ordonnance attaquée confirmée. Les frais de la procédure de recours, constitués en l’espèce de l’émolument d'arrêt, par 770 fr. (art. 20 al. 1 TFIP [Tarif des frais judiciaires de procédure et indemnités en matière pénale du 28 septembre 2010 ; RSV 312.03.1]) et des frais imputables à la défense d’office (art. 422 al. 1 et 2 let. a CPP), fixés à 540 fr., plus la TVA par 43 fr. 20, soit un total de 583 fr. 20, seront mis à la charge d’E.________,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29 juillet 2016 est confirmée. III. L’indemnité allouée au défenseur d’office d’E.________ est fixée à 583 fr. 20 (cinq cent huitante-trois francs et vingt centimes). IV. Les frais d’arrêt, par 770 fr. (sept cent septante francs), ainsi que l’indemnité due au défenseur d’office d’E.________, par 583 fr. 20 (cinq cent huitante-trois francs et vingt centimes), sont mis à la charge de ce dernier. V. Le remboursement à l’Etat de l’indemnité allouée au chiffre III ci-dessus ne sera exigible que pour autant que la situation économique d’E.________ se soit améliorée.</w:t>
      </w:r>
    </w:p>
    <w:p>
      <w:r>
        <w:t>- 8 - VI. L’arrêt est exécutoire. Le président : La greffière : Du Le présent arrêt, dont la rédaction a été approuvée à huis clos, est notifié, par l'envoi d'une copie complète, à : - Me Inès Feldmann, avocate (pour E.________), - Ministère public central ; et communiqué à : - Mme la Procureure de l’arrondissement de La Côte, - Office d’exécution des peines (réf. : OEP/PPL/142058/AVI/SMS),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4</w:t>
      </w:r>
    </w:p>
    <w:p>
      <w:r>
        <w:t>CPP – par exemple en ce qui concerne les visites (art. 235 al. 2 CPP) ou le contrôle du courrier (art. 235 al. 3 CPP ; cf. Härri, op. cit., n. 25 à 27 ad art. 236 CPP et les réf. cit., en particulier sous n. 27) – , laisse subsister un trop grand risque de collusion et met en danger le but de l’instruction (CREP 17 novembre 2015/745 ; CREP 8 mars 2013/157).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