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PE15.015276 vom 7. August 2015</w:t>
      </w:r>
    </w:p>
    <w:p>
      <w:r>
        <w:t>VD Tribunal cantonal, 2015-08-07, FR</w:t>
      </w:r>
    </w:p>
    <w:p>
      <w:r>
        <w:rPr>
          <w:b/>
        </w:rPr>
        <w:t xml:space="preserve">Quelle: </w:t>
      </w:r>
      <w:r>
        <w:t>https://mcp.opencaselaw.ch/entscheid/vd_gerichte_PE15.015276</w:t>
      </w:r>
    </w:p>
    <w:p>
      <w:r>
        <w:t>FR: VD_GERICHTE PE15.015276 du 7 août 2015</w:t>
      </w:r>
    </w:p>
    <w:p>
      <w:r>
        <w:t>IT: VD_GERICHTE PE15.015276 del 7 agosto 2015</w:t>
      </w:r>
    </w:p>
    <w:p>
      <w:pPr>
        <w:pStyle w:val="Heading2"/>
      </w:pPr>
      <w:r>
        <w:t>Erwägungen</w:t>
      </w:r>
    </w:p>
    <w:p>
      <w:r>
        <w:rPr>
          <w:b/>
        </w:rPr>
        <w:t>E. 1</w:t>
      </w:r>
    </w:p>
    <w:p>
      <w:r>
        <w:t>Dans son courrier du 27 juillet 2015, D.________ indique qu’il s’agit d’un recours et se réfère à l’ordonnance pénale de conversion</w:t>
      </w:r>
    </w:p>
    <w:p>
      <w:r>
        <w:t>- 4 - rendue par le Préfet le 20 juillet 2015, tout en contestant être l’auteur des infractions simples à la loi sur la circulation routière ayant donné lieu aux ordonnances pénales rendues les 25 juin et 24 septembre 2014 par le Préfet du Gros-de-Vaud et devoir payer les amendes auxquelles il a été condamné. La cour de céans se bornera donc à examiner si ce courrier peut être considéré comme une demande de révision recevable.</w:t>
      </w:r>
    </w:p>
    <w:p>
      <w:r>
        <w:rPr>
          <w:b/>
        </w:rPr>
        <w:t>E. 1.2</w:t>
      </w:r>
    </w:p>
    <w:p>
      <w:r>
        <w:t>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2.1</w:t>
      </w:r>
    </w:p>
    <w:p>
      <w:r>
        <w:t>L'art. 410 al. 1 let. a CPP (Code de procédure pénale suisse du</w:t>
      </w:r>
    </w:p>
    <w:p>
      <w:r>
        <w:rPr>
          <w:b/>
        </w:rPr>
        <w:t>E. 2.2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Genève/Zurich/Bâle 2011, n. 2092, p. 679; Heer, in :</w:t>
      </w:r>
    </w:p>
    <w:p>
      <w:r>
        <w:t>- 5 - Niggli/Heer/Wiprächtiger [éd.], Basler Kommentar, Schweizerische Strafprozessordnung, Jungenstrafprozessordnung, 2e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2.3</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(ibidem). Cette jurisprudence, rendue avant l’entrée en vigueur du CPP, a été confirmée depuis lors (TF 6B_310/2011 du 20 juin 2011 c. 1.3 ; CAPE 18 juin 2013/157; CAPE 3 mai 2013/131). 3. En l’espèce, le requérant n’a pas contesté les ordonnances pénales dont la révision est demandée par la voie de l’opposition, de sorte que celles-ci sont devenues définitives et exécutoires. A l’appui de sa requête, il produit les photographies prises par les radars, une copie en couleur de son permis de conduire, ainsi que la lettre du 31 mars 2014 par laquelle la société [...] l’a licencié avec effet immédiat. Il fait valoir qu’il n’est pas le conducteur photographié, qu’il a eu un mois de retrait de permis de conduire sans raison, qu’il a été licencié avec effet immédiat</w:t>
      </w:r>
    </w:p>
    <w:p>
      <w:r>
        <w:t>- 6 - par son employeur à cause de son retrait de permis et qu’il n’a pas à payer les amendes qui ne le concernent pas. La présente demande de révision est manifestement abusive dès lors qu’elle repose sur des faits que le requérant aurait pu révéler dans le cadre d’une procédure ordinaire mise en œuvre par la voie de l’opposition et qu’il n’avait aucune raison de taire. Connaissant les lieux et heures des excès de vitesse dont il était accusé, D.________ aurait pu et dû d’emblée signaler au Préfet qu’il ne s’agissait pas de lui sur les photographies figurant au dossier et, au besoin, faire opposition aux ordonnances de condamnation rendues les 25 juin et 24 septembre 2014 par le Préfet dans les délais indiqués au pied de ces ordonnances, voire de comparaître ensuite devant le tribunal de police et de prouver ainsi qu’il ne s’agissait pas de son visage sur les photographies. De plus, si le requérant connaissait, comme il le prétend, le nom du véritable conducteur du véhicule ayant commis les excès de vitesse incriminés, il pouvait sans difficulté solliciter son audition comme témoin pour faciliter son identification. Enfin, compte tenu des enjeux pénaux (amendes et frais), administratif (retrait du permis de conduire) et professionnel (licenciement avec effet immédiat), il n’est pas vraisemblable que le requérant soit demeuré passif sans réagir et sans contester toute faute de sa part jusqu’à réception de l’ordonnance de pénale de conversion du 20 juillet 2015. Au surplus, dans la mesure où D.________ conteste les ordonnances rendues les 25 juin et 24 septembre 2014, et le 27 avril 2015, il appartenait au Préfet d’indiquer au condamné que ces ordonnances étaient définitives et exécutoires, ou à défaut, de statuer, exclusivement sur la recevabilité de l’opposition. Il n’appartient pas à l’autorité préfectorale d’interpréter un acte de procédure comme une demande de révision et de le transmettre d’office à une autre juridiction, dès lors que la voie de la révision n’est pas ouverte lorsque le prévenu n’a pas préalablement agi par la voie de l’opposition.</w:t>
      </w:r>
    </w:p>
    <w:p>
      <w:r>
        <w:t>- 7 - 3. En définitive, la demande de révision présentée par D.________ est irrecevable (art. 412 al. 2 CPP). Les frais de la procédure de révision doivent être laissés à la charge de l’Etat.</w:t>
      </w:r>
    </w:p>
    <w:p>
      <w:r>
        <w:rPr>
          <w:b/>
        </w:rPr>
        <w:t>E. 5</w:t>
      </w:r>
    </w:p>
    <w:p>
      <w:r>
        <w:t>octobre 2007,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(Code pénal suisse du 21 décembre 1937, RS 311.0) selon laquelle les faits ou moyens de preuve invoqués doivent être nouveaux et sérieux (Message du Conseil fédéral du 21 décembre 2005 relatif à l'unification de la procédure pénale, FF 2006 II 1057 ss, spéc. 1303; TF 6B_310/2011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