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PE15.014578 vom 9. Juli 2020</w:t>
      </w:r>
    </w:p>
    <w:p>
      <w:r>
        <w:t>VD Tribunal cantonal, 2020-07-09, FR</w:t>
      </w:r>
    </w:p>
    <w:p>
      <w:r>
        <w:rPr>
          <w:b/>
        </w:rPr>
        <w:t xml:space="preserve">Quelle: </w:t>
      </w:r>
      <w:r>
        <w:t>https://mcp.opencaselaw.ch/entscheid/vd_gerichte_PE15.014578</w:t>
      </w:r>
    </w:p>
    <w:p>
      <w:r>
        <w:t>FR: VD_GERICHTE PE15.014578 du 9 juillet 2020</w:t>
      </w:r>
    </w:p>
    <w:p>
      <w:r>
        <w:t>IT: VD_GERICHTE PE15.014578 del 9 luglio 2020</w:t>
      </w:r>
    </w:p>
    <w:p>
      <w:pPr>
        <w:pStyle w:val="Heading2"/>
      </w:pPr>
      <w:r>
        <w:t>Erwägungen</w:t>
      </w:r>
    </w:p>
    <w:p>
      <w:r>
        <w:rPr>
          <w:b/>
        </w:rPr>
        <w:t>E. 4</w:t>
      </w:r>
    </w:p>
    <w:p>
      <w:r>
        <w:t>En définitive, l’appel de F.________ doit être rejeté et le jugement entrepris confirmé. Il n’y a pas lieu de s’écarter de la liste d’opérations produite par le conseil juridique gratuit de l’appelant qui fait état de 11 heures et 15 minutes d’activité, audience d’appel non comprise. L’indemnité qui lui sera allouée sera fixée à 2'551 fr. 50 (2’205 fr. [honoraires] + 120 fr. [vacation] + 44 fr. 10 [débours] + 182 fr. 40 [TVA]). A cet égard, le dispositif notifié aux parties sera rectifié d’office (art. 83 al. 1 CPP), dans la mesure où il mentionne que cette indemnité sera allouée au défenseur d’office de l’appelant alors qu’il s’agit d’un conseil juridique gratuit. Sur la base de la liste d’opérations produite par son défenseur, un montant de 4'119 fr. 50 sera alloué à O.________ à titre de juste indemnité pour les dépenses occasionnées par la procédure d’appel. Cette indemnité tient compte d’une activité de 12,5 heures au tarif horaire de 300 fr., TVA et débours compris. 2 heures et 20 minutes ont été retranchées des opérations effectuées le 17 novembre 2020, le temps prévu pour l’audience d’appel (3 heures) devant en effet être réduit et celui compté pour les courriers qui ont été échangés ce jour-là (0.9 heure) ainsi que celui compté pour la préparation d’audience (3.5 heures)</w:t>
      </w:r>
    </w:p>
    <w:p>
      <w:r>
        <w:t>- 30 - apparaissant quelque peu exagéré au regard du temps déjà compté pour le dépôt de déterminations écrites et de la demande de non-entrée en matière (5.9 heures). Sur la base de la liste d’opérations produite par son défenseur, un montant de 3'954 fr. 75 sera alloué à B.________ à titre de juste indemnité pour les dépenses occasionnées par la procédure d’appel. Cette indemnité tient compte d’une activité de 12 heures au tarif horaire de 300 fr., TVA et débours compris. Une heure et 30 minutes ont été retranchées des opérations effectuées le 17 novembre 2020, le temps prévu pour l’audience d’appel devant en effet être réduit. Vu l’issue de la cause, les frais de la procédure d’appel, par 4'861 fr. 50, constitués en l’espèce de l'émolument de jugement, par 2’310 fr. (art. 21 al. 1 et 2 TFIP [Tarif des frais de procédure et indemnités en matière pénale du 28 septembre 2010 ; BLV 312.03.1]), ainsi que de l’indemnité allouée au conseil juridique gratuit de l’appelant, devraient être mis à la charge de F.________, qui succombe (art. 428 CPP). Il devrait en aller de même s’agissant des indemnités allouées aux intimés. Toutefois, compte tenu des troubles dont souffre F.________ et du fait que les intimés n’obtiendront très vraisemblablement jamais les montants qui leur sont dus, ceux-ci ainsi que l’ensemble des frais de la procédure d’appel seront exceptionnellement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