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PE15.012801 vom 4. November 2015</w:t>
      </w:r>
    </w:p>
    <w:p>
      <w:r>
        <w:t>VD Tribunal cantonal, 2015-11-04, FR</w:t>
      </w:r>
    </w:p>
    <w:p>
      <w:r>
        <w:rPr>
          <w:b/>
        </w:rPr>
        <w:t xml:space="preserve">Quelle: </w:t>
      </w:r>
      <w:r>
        <w:t>https://mcp.opencaselaw.ch/entscheid/vd_gerichte_PE15.012801</w:t>
      </w:r>
    </w:p>
    <w:p>
      <w:r>
        <w:t>FR: VD_GERICHTE PE15.012801 du 4 novembre 2015</w:t>
      </w:r>
    </w:p>
    <w:p>
      <w:r>
        <w:t>IT: VD_GERICHTE PE15.012801 del 4 novembre 2015</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le recours est en principe recevable sous réserve de ce qui suit (cf. consid. 2 infra).</w:t>
      </w:r>
    </w:p>
    <w:p>
      <w:r>
        <w:rPr>
          <w:b/>
        </w:rPr>
        <w:t>E. 2.1</w:t>
      </w:r>
    </w:p>
    <w:p>
      <w:r>
        <w:t>Aux termes de l’art. 382 al. 1 CPP, toute partie qui a un intérêt juridiquement protégé à l’annulation ou à la modification d’une décision a qualité pour recourir contre celle-ci. La notion de partie visée à cette disposition doit être comprise au sens des art. 104 et 105 CPP (CREP 2 février 2015/88 consid. 2.1 ; CREP 13 août 2013/545 consid. 2a).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w:t>
      </w:r>
    </w:p>
    <w:p>
      <w:r>
        <w:t>- 5 - touchés directement par une infraction". L'art. 115 al. 2 CPP ajoute que sont toujours considérées comme telles les personnes qui ont qualité pour déposer plainte pénale. La qualité pour recourir de la partie plaignante ou du lésé contre une ordonnance de non-entrée en matière est ainsi subordonnée à la condition qu'ils soient directement touchés par l'infraction et puissent faire valoir un intérêt juridiquement protégé à l'annulation de la décision (TF 1B_489/2011 du 24 janvier 2012 consid. 2.1).</w:t>
      </w:r>
    </w:p>
    <w:p>
      <w:r>
        <w:rPr>
          <w:b/>
        </w:rPr>
        <w:t>E. 2.2</w:t>
      </w:r>
    </w:p>
    <w:p>
      <w:r>
        <w:t>En l'espèce, X.________ n'a pas la qualité de lésé. En effet, le prénommé a indiqué dans sa plainte qu’il n’était pas propriétaire de l’appartement sis dans l’immeuble concerné par sa plainte, mais qu’il déposait plainte seul en raison de menaces dont aurait été victime son épouse (P. 4/1). Il n’a donc manifestement pas été touché par les infractions qu'il dénonce. Faute de pouvoir se prévaloir de la qualité de lésé au sens de l'art. 115 al. 1 CPP, il n'a pas la qualité pour recourir (art. 382 al. 1 CPP) contre l'ordonnance de non-entrée en matière du 1er septembre 2015. Le recours doit donc être déclaré irrecevable. Toutefois, supposé recevable, le recours de X.________ devrait de toute manière être rejeté pour les motifs exposés ci-après.</w:t>
      </w:r>
    </w:p>
    <w:p>
      <w:r>
        <w:rPr>
          <w:b/>
        </w:rPr>
        <w:t>E. 3</w:t>
      </w:r>
    </w:p>
    <w:p>
      <w:r>
        <w:t>En définitive, le recours, manifestement mal fondé, doit être rejeté sans autre échange d'écritures (art. 390 al. 2 CPP), dans la mesure où il est recevable (cf. consid. 2 supra), et l'ordonnance attaquée confirmée. Les frais de la procédure de recours, constitués du seul émolument d’arrêt, par 660 fr. (art. 20 al. 1 TFIP [Tarif des frais de procédure et indemnités en matière pénale du 28 septembre 2010, RSV 312.03.1]), seront mis à la charge du recourant, qui succombe (art. 428 al. 1 CPP). Le montant de 550 fr. déjà versé par le recourant à titre de sûretés sera imputé sur ces frais (art. 383 al. 1 CPP ; art. 7 TFIP).</w:t>
      </w:r>
    </w:p>
    <w:p>
      <w:r>
        <w:t>- 8 - Par ces motifs, la Chambre des recours pénale prononce : I. Le recours est rejeté dans la mesure où il est recevable. II. L’ordonnance du 1er septembre 2015 est confirmée. III. Les frais de la procédure de recours, par 660 fr. (six cent soixante francs), sont mis à la charge de X.________. IV. Le montant de 550 fr. (cinq cent cinquante francs) déjà versé par le recourant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 X.________,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t>- 6 -</w:t>
      </w:r>
    </w:p>
    <w:p>
      <w:r>
        <w:rPr>
          <w:b/>
        </w:rPr>
        <w:t>E. 3.2</w:t>
      </w:r>
    </w:p>
    <w:p>
      <w:r>
        <w:t>L'autorité de chose jugée et le principe "ne bis in idem" supposent qu'il y ait identité de l'objet de la procédure, de la personne visée et des faits retenus (ATF 120 IV 10 consid. 2b). S'agissant plus particulièrement d'une ordonnance de non-entrée en matière, il est admis que l'autorité de chose jugée est restreinte en ce sens que la poursuite peut être reprise en cas de découverte de preuves ou de charges nouvelles (ibidem).</w:t>
      </w:r>
    </w:p>
    <w:p>
      <w:r>
        <w:rPr>
          <w:b/>
        </w:rPr>
        <w:t>E. 3.3</w:t>
      </w:r>
    </w:p>
    <w:p>
      <w:r>
        <w:t>En l’espèce, le Ministère public se trompe lorsqu’il indique dans son ordonnance du 1er septembre 2015 que, par courrier du 27 juin 2015, X.________ aurait porté plainte « pour la deuxième fois » pour des dommages causés au gazon de « sa » propriété en avril 2014. En effet, la première plainte avait été déposée le 20 avril 2014 par T.________, gérante de l’immeuble et représentante de la copropriété. Au surplus, il ne s’agit pas de « sa » propriété, puisque seule son épouse fait partie de la copropriété concernée. Toutefois, ces nuances n’ont pas d’importance en l’espèce, dès lors que la plainte pénale déposée par X.________ le 27 juin 2015 porte sur les mêmes faits que ceux qui avaient été dénoncés par T.________ dans sa plainte du 20 avril 2014. Or, les faits nouveaux invoqués par X.________ ne sauraient être considérés comme tels. En effet, s’agissant des soupçons portés sur V.________, concierge de l’immeuble, on relèvera que celui-ci avait déjà été entendu en qualité de personne amenée à donner des renseignements dans le cadre de la première affaire, sans succès (PV aud. 2 du dossier PE15.007760-YBL). Dans cette même procédure, la police avait également procédé à quelques investigations et c’est sur la base de ces éléments que la Procureure avait tenu pour établi que la pelouse avait été abîmée en raison de travaux effectués en avril 2014 aux abords de l’immeuble. Aucune nouvelle mesure d’instruction n’apparait susceptible aujourd’hui de permettre de déterminer une éventuelle responsabilité du concierge. Pour le surplus, on ne voit pas le lien qui pourrait exister entre les menaces qui auraient été proférées par S.________ en mars 2015 à l’encontre de l’épouse du recourant et les dégâts subis par la pelouse quelques mois après.</w:t>
      </w:r>
    </w:p>
    <w:p>
      <w:r>
        <w:t>- 7 - Au vu de l’ensemble de ces éléments, il n’y a donc pas d’éléments nouveaux permettant la reprise de l’instruction et c’est à juste titre que le Ministère public a rendu une ordonnance de non-entrée en matière. Enfin, si tant est que le recourant ait voulu dénoncer pénalement les menaces proférées à l’encontre de son épouse, il y a lieu de constater que cette infraction ne se poursuit que sur plainte (art. 180 CP). Le délai pour porter plainte est de trois mois et court du jour où l’ayant droit a connu l’auteur de l’infraction (art. 31 CP). Ce délai étant un délai de péremption, il ne peut être ni interrompu, ni prolongé (ATF 118 IV 325 consid. 2b). En l’espèce, outre le fait que X.________ n’a pas la qualité de lésé, les faits dénoncés se seraient déroulés le 24 mars 2015, si bien que le délai pour porter plainte serait échu depuis le 24 juin 2015. La plainte serait donc manifestement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