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PE15.012609 vom 8. Dezember 2015</w:t>
      </w:r>
    </w:p>
    <w:p>
      <w:r>
        <w:t>VD Tribunal cantonal, 2015-12-08, FR</w:t>
      </w:r>
    </w:p>
    <w:p>
      <w:r>
        <w:rPr>
          <w:b/>
        </w:rPr>
        <w:t xml:space="preserve">Quelle: </w:t>
      </w:r>
      <w:r>
        <w:t>https://mcp.opencaselaw.ch/entscheid/vd_gerichte_PE15.012609</w:t>
      </w:r>
    </w:p>
    <w:p>
      <w:r>
        <w:t>FR: VD_GERICHTE PE15.012609 du 8 décembre 2015</w:t>
      </w:r>
    </w:p>
    <w:p>
      <w:r>
        <w:t>IT: VD_GERICHTE PE15.012609 del 8 dicembre 2015</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O.________ à l’encontre du Procureur W.________ (art. 13 LVCPP [loi vaudoise du 19 mai 2009 d’introduction du code de procédure pénale suisse ; RSV 312.01]).</w:t>
      </w:r>
    </w:p>
    <w:p>
      <w:r>
        <w:rPr>
          <w:b/>
        </w:rPr>
        <w:t>E. 2.1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 TF 6B_621/2011 du 19 décembre 2011 consid. 2.2).</w:t>
      </w:r>
    </w:p>
    <w:p>
      <w:r>
        <w:t>- 4 -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dont la situation ou le comportement est de nature à faire naître un doute sur son impartialité (TF 1B_629/2011 du 19 décembre 2011 consid. 2.1 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 ATF 134 I 20 consid. 4.2 ; TF 1B_105/2013 du 21 mai 2013 consid. 2.1).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 ATF 116 Ia 135 consid. 3a ; ATF 114 Ia 153 consid. 3b/bb ; ATF 111 Ia 259 consid. 3b/aa et les références citées).</w:t>
      </w:r>
    </w:p>
    <w:p>
      <w:r>
        <w:t>- 5 - S’agissant d’un représentant du Ministère public, les exigences ne sont pas les mêmes que pour un juge ;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2.1 et les références citées ; TF 1B_129/2014 du 16 mai 2014 consid. 2.1). Enfin, n'emportent pas prévention une décision défavorable à une partie (TF 1B_105/2013 du 21 mai 2013 consid. 2.1 ; TF 1B_365/2009 du 22 mars 2010 consid. 3.3) ou un refus d'administrer une preuve (ATF 116 Ia 135 ; Verniory, in : Kuhn/Jeanneret, Commentaire romand, Code de procédure pénale suisse, Bâle 2011, n. 35 ad art. 56 CPP).</w:t>
      </w:r>
    </w:p>
    <w:p>
      <w:r>
        <w:rPr>
          <w:b/>
        </w:rPr>
        <w:t>E. 2.2</w:t>
      </w:r>
    </w:p>
    <w:p>
      <w:r>
        <w:t>En l’espèce, la requête de récusation fait suite à la décision de refus de report d’audience prise par le procureur. Cette décision était toutefois motivée par le fait que l’audience avait été fixée d’entente avec le précédent conseil du prévenu. Cette motivation est conforme aux Directives édictées par le Procureur Général (Directive n° 7 du Procureur</w:t>
      </w:r>
    </w:p>
    <w:p>
      <w:r>
        <w:t>- 6 - général sur les modalités et les délais lors de la fixation des audiences par les procureurs). En outre, le ton du courrier du 6 novembre 2015 n’est pas inadéquat. On ne saurait donc voir dans cette décision l’expression d’une quelconque prévention. Pour le reste, le requérant reproche au Procureur W.________ de nourrir une certaine inimitié à l’encontre des avocats de l’étude de son mandataire. L’une des associés aurait en effet été le conseil de l’épouse du procureur dans le cadre de difficultés conjugales pendant une période de deux mois. A cet égard, on relèvera que le requérant ne soutient pas que son conseil, Me L.________, serait intervenu personnellement dans le litige opposant le procureur à son épouse. L’intervention de l’avocate de l’étude en question est donc en soi insuffisante pour considérer qu’il existe des indices de prévention du procureur à l’encontre de ladite étude dans son entier et plus particulièrement envers Me L.________. Il n’existe dès lors pas d’éléments susceptibles de démontrer une quelconque prévention du Procureur W.________. Il s’ensuit qu’aucun motif de récusation au sens de l'art. 56 let. f CPP n'est réalisé dans le présent cas.</w:t>
      </w:r>
    </w:p>
    <w:p>
      <w:r>
        <w:rPr>
          <w:b/>
        </w:rPr>
        <w:t>E. 3</w:t>
      </w:r>
    </w:p>
    <w:p>
      <w:r>
        <w:t>S’agissant de la demande de délai formulée par le requérant afin de compléter sa demande de récusation et de sa requête de production de pièces, la Cour de céans relève tout d’abord que les faits sur lesquels se fonde une demande de récusation doivent être rendus plausibles dans la demande de récusation (art. 58 al. 1 CPP) et que, selon l’art. 59 al. 1 CPP, le litige est en principe tranché sans administration supplémentaire de preuves et définitivement. Au demeurant, si les documents requis par le requérant pourraient à la rigueur permettre d’établir un rapport d’inimitié entre Me [...] et le procureur, ils n’apporteraient aucun éclairage sur la situation de ce dernier avec Me L.________, et encore moins avec le requérant lui-même. Partant, les requêtes du 4 décembre 2015 doivent être rejetées.</w:t>
      </w:r>
    </w:p>
    <w:p>
      <w:r>
        <w:t>- 7 -</w:t>
      </w:r>
    </w:p>
    <w:p>
      <w:r>
        <w:rPr>
          <w:b/>
        </w:rPr>
        <w:t>E. 4</w:t>
      </w:r>
    </w:p>
    <w:p>
      <w:r>
        <w:t>Il résulte de ce qui précède que la demande de récusation présentée par O.________ doit être rejetée. Les frais de la procédure, constitués en l’espèce de l’émolument de décision, par 660 fr. (art. 20 al. 1 TFIP [tarif des frais de procédure et indemnités en matière pénale du 28 septembre 2010; RSV 312.03.1]), seront mis à la charge du requérant, qui succombe (art. 59 al. 4 CPP). Par ces motifs, la Chambre des recours pénale prononce : I. La demande de récusation est rejetée. II. Les frais de la présente décision, par 660 fr. (six cent soixante francs), sont mis à la charge d’O.________. III. La présente décision est exécutoire. Le président: La greffière : Du La présente décision, dont la rédaction a été approuvée à huis clos, est notifiée, par l'envoi d'une copie complète, à : - Me L.________, avocat (pour O.________), - Ministère public central, et communiquée à : - M. le Procureur de l’arrondissement [...],</w:t>
      </w:r>
    </w:p>
    <w:p>
      <w:r>
        <w:t>- 8 -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