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PE15.011815 vom 20. September 2017</w:t>
      </w:r>
    </w:p>
    <w:p>
      <w:r>
        <w:t>VD Tribunal cantonal, 2017-09-20, FR</w:t>
      </w:r>
    </w:p>
    <w:p>
      <w:r>
        <w:rPr>
          <w:b/>
        </w:rPr>
        <w:t xml:space="preserve">Quelle: </w:t>
      </w:r>
      <w:r>
        <w:t>https://mcp.opencaselaw.ch/entscheid/vd_gerichte_PE15.011815</w:t>
      </w:r>
    </w:p>
    <w:p>
      <w:r>
        <w:t>FR: VD_GERICHTE PE15.011815 du 20 septembre 2017</w:t>
      </w:r>
    </w:p>
    <w:p>
      <w:r>
        <w:t>IT: VD_GERICHTE PE15.011815 del 20 settembre 2017</w:t>
      </w:r>
    </w:p>
    <w:p>
      <w:pPr>
        <w:pStyle w:val="Heading2"/>
      </w:pPr>
      <w:r>
        <w:t>Erwägungen</w:t>
      </w:r>
    </w:p>
    <w:p>
      <w:r>
        <w:rPr>
          <w:b/>
        </w:rPr>
        <w:t>E. 4.1</w:t>
      </w:r>
    </w:p>
    <w:p>
      <w:r>
        <w:t>Se rend coupable de contrainte au sens de l'art. 181 CP celui qui, en usant de violence envers une personne ou en la menaçant d'un dommage sérieux, ou en l'entravant de quelque autre manière dans sa liberté d'action, l'aura obligée à faire, ne pas faire ou à laisser faire un acte. Alors que la violence consiste dans l'emploi d'une force physique d'une certaine intensité à l'encontre de la victime (TF 6B_153/2017 du 28 novembre 2017 consid. 3.1; ATF 101 IV 42 consid. 3a), la menace est un moyen de pression psychologique consistant à annoncer un dommage futur dont la réalisation est présentée comme dépendante de la volonté de l'auteur, sans toutefois qu'il soit nécessaire que cette dépendance soit effective (TF 6B_153/2017 du 28 novembre 2017 consid. 3.1; ATF 117 IV 445 consid. 2b; ATF 106 IV 125 consid. 2a) ni que l'auteur ait réellement la volonté de réaliser sa menace (TF 6B_153/2017 du 28 novembre 2017 consid. 3.1; ATF 105 IV 120 consid. 2a).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(TF 6B_153/2017 du 28 novembre 2017 consid. 3.1; ATF 122 IV 322 consid. 1a; ATF 120 IV 17 consid. 2a/aa).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(TF 6B_153/2017 du 28 novembre 2017 consid. 3.1; ATF 141 IV 437 consid. 3.2.1; ATF 137 IV 326 consid. 3.3.1). Selon la jurisprudence, la contrainte n'est contraire au droit que si elle est illicite, soit parce que le moyen utilisé ou le but poursuivi est</w:t>
      </w:r>
    </w:p>
    <w:p>
      <w:r>
        <w:t>- 15 - illicite, soit parce que le moyen est disproportionné pour atteindre le but visé, soit encore parce qu'un moyen conforme au droit utilisé pour atteindre un but légitime constitue au vu des circonstances, un moyen de pression abusif ou contraire aux mœurs (TF 6B_153/2017 du 28 novembre 2017 consid. 3.1; ATF 141 IV 437 consid. 3.2.1; ATF 137 IV 326 consid. 3.3.1). Lorsque la victime ne se laisse pas intimider et n'adopte pas le comportement voulu par l'auteur, ce dernier est punissable de tentative de contrainte (art. 22 al. 1 CP; TF 6B_153/2017 du 28 novembre 2017 consid. 3.1; ATF 129 IV 262 consid. 2.7; ATF 106 IV 125 consid. 2b). Pour qu'il y ait tentative de contrainte, il faut que l'auteur ait agi avec conscience et volonté, soit au moins qu'il ait accepté l'éventualité que le procédé illicite employé entrave le destinataire dans sa liberté de décision (TF 6B_153/2017 du 28 novembre 2017 consid. 3.1; ATF 120 IV 17 consid. 2c).</w:t>
      </w:r>
    </w:p>
    <w:p>
      <w:r>
        <w:rPr>
          <w:b/>
        </w:rPr>
        <w:t>E. 4.2</w:t>
      </w:r>
    </w:p>
    <w:p>
      <w:r>
        <w:t>Dans le cas particulier, le prévenu a d’abord bloqué le passage de la plaignante avec son véhicule. Ensuite, il a maintenu son ex-amie par les poignets, tout en lui demandant de retirer ses plaintes déposées auprès des autorités françaises. En entravant la victime dans sa liberté d'action, il a donc agi, avec conscience et volonté, dans le dessein de la mener à accomplir un acte déterminé, à savoir le retrait des plaintes en question. Vu leur maintien, il n’est toutefois pas parvenu à ses fins, alors même qu’il avait accompli tous les actes propres à conduire au résultat recherché. Il y a donc eu tentative de contrainte.</w:t>
      </w:r>
    </w:p>
    <w:p>
      <w:r>
        <w:rPr>
          <w:b/>
        </w:rPr>
        <w:t>E. 5</w:t>
      </w:r>
    </w:p>
    <w:p>
      <w:r>
        <w:t>Vérifiée d’office, la quotité de la peine est adéquate selon l’art. 47 CP et il y a lieu de renvoyer à cet égard à l’appréciation du tribunal de police, qui est convaincante et que la Cour de céans fait sienne. Il en va de même de la durée du délai d’épreuve, arrêtée au minimum légal (art. 44 al. 1 CP). De même, le prononcé d’une amende de 200 fr. à titre de sanction immédiate selon l’art. 42 al. 4 CP est conforme au droit.</w:t>
      </w:r>
    </w:p>
    <w:p>
      <w:r>
        <w:rPr>
          <w:b/>
        </w:rPr>
        <w:t>E. 6</w:t>
      </w:r>
    </w:p>
    <w:p>
      <w:r>
        <w:t>En revanche, la quotité de la peine privative de liberté de substitution de six jours est trop élevée au regard de celle de l’amende. La</w:t>
      </w:r>
    </w:p>
    <w:p>
      <w:r>
        <w:t>- 16 - peine privative de liberté de substitution doit être ramenée à deux jours conformément à la pratique de la Cour d’appel pénale. En application de l’art. 404 al. 2 CPP, le jugement sera rectifié d’office dans cette mesure au chiffre V de son dispositif. S’agissant d’une rectification d’office, sur un point accessoire de surcroît, il n’y a pas matière à modifier le sort des frais de première instance, la déclaration de culpabilité et la condamnation étant maintenues dans leur principe. Enfin, le nouveau droit des sanctions entré en vigueur le 1er janvier 2018 n’est pas plus favorable in concreto, de sorte qu’il y a lieu d’appliquer l’ancien droit.</w:t>
      </w:r>
    </w:p>
    <w:p>
      <w:r>
        <w:rPr>
          <w:b/>
        </w:rPr>
        <w:t>E. 7</w:t>
      </w:r>
    </w:p>
    <w:p>
      <w:r>
        <w:t>L’appel étant ainsi rejeté, les frais d’appel (art. 21 al. 1 et 2 TFIP [Tarif des frais de procédure et indemnités en matière pénale du 28 septembre 2010; RSV 312.03.1]) seront mis à la charge du prévenu, qui succombe (art. 428 al. 1 CPP), étant précisé que la rectification d’office du jugement en sa faveur n’implique pas qu’il obtienne gain de cause, même partiellement.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