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PE15.009889 vom 10. August 2015</w:t>
      </w:r>
    </w:p>
    <w:p>
      <w:r>
        <w:t>VD Tribunal cantonal, 2015-08-10, FR</w:t>
      </w:r>
    </w:p>
    <w:p>
      <w:r>
        <w:rPr>
          <w:b/>
        </w:rPr>
        <w:t xml:space="preserve">Quelle: </w:t>
      </w:r>
      <w:r>
        <w:t>https://mcp.opencaselaw.ch/entscheid/vd_gerichte_PE15.009889</w:t>
      </w:r>
    </w:p>
    <w:p>
      <w:r>
        <w:t>FR: VD_GERICHTE PE15.009889 du 10 août 2015</w:t>
      </w:r>
    </w:p>
    <w:p>
      <w:r>
        <w:t>IT: VD_GERICHTE PE15.009889 del 10 agosto 2015</w:t>
      </w:r>
    </w:p>
    <w:p>
      <w:pPr>
        <w:pStyle w:val="Heading2"/>
      </w:pPr>
      <w:r>
        <w:t>Erwägungen</w:t>
      </w:r>
    </w:p>
    <w:p>
      <w:r>
        <w:rPr>
          <w:b/>
        </w:rPr>
        <w:t>E. 9</w:t>
      </w:r>
    </w:p>
    <w:p>
      <w:r>
        <w:t>février 2015/101 c. 2.1 ; CREP 24 septembre 2014/694 c. 2.1). L’administration de nouveaux faits ou de nouveaux moyens de preuve devrait en principe conduire à une autre évaluation que celle effectuée précédemment (Schmid, Schweizerische Strafprozessordnung, Praxiskommentar, 2e éd., Zürich/Saint-Gall 2013, n. 1 ad art. 323 CPP ; Moreillon/Parein-Reymond, Petit commentaire CPP, Bâle 2013, n. 7 ad art. 323 CPP). 2.3 En l'espèce, comme le relève à juste titre la Procureure, l’autorité de la chose jugée ne saurait être remise en cause simplement par le fait que la plaignante aurait dénoncé la convention qui la liait à F.________ et requis des explications. Il ne s’agit pas d’un fait respectivement d’un moyen de preuve nouveau au sens de l’art. 323 CPP, dès lors qu’il n’est à l’évidence pas de nature à conduire à une autre évaluation que celle effectuée précédemment. Les conditions d’une reprise de la procédure au sens de l’art. 323 CPP ne sont ainsi pas réunies.</w:t>
      </w:r>
    </w:p>
    <w:p>
      <w:r>
        <w:t>- 5 - 3. Il résulte de ce qui précède que le recours, manifestement mal fondé, doit être rejeté, sans autres échanges d’écritures (art. 390 al. 2 CPP), et l’ordonnance du 5 juin 2015 confirmée. Les frais de la procédure de recours, constitués du seul émolument d’arrêt, par 550 fr. (art. 20 al. 1 TFIP [Tarif des frais de procédure et indemnités en matière pénale du 28 septembre 2010, RSV 312.03.1]), seront mis à la charge de la recourante, qui succombe (art. 428 al. 1 CPP). Ils seront compensés avec le montant de 550 fr. déjà versé par celle-ci à titre de sûretés (art. 7 TFIP). Par ces motifs, la Chambre des recours pénale prononce : I. Le recours est rejeté. II. L’ordonnance du 5 juin 2015 est confirmée. III. Les frais de la procédure de recours, par 550 fr. (cinq cent cinquante francs), sont mis à la charge d’I.________Ltd. IV. Les frais mis à la charge de la recourante au chiffre III ci- dessus sont compensés avec le montant de 550 fr. (cinq cent cinquante francs) déjà versé par celle-ci à titre de sûretés. V. Le présent arrêt est exécutoire. Le président : La greffière :</w:t>
      </w:r>
    </w:p>
    <w:p>
      <w:r>
        <w:t>- 6 - Du Le présent arrêt, dont la rédaction a été approuvée à huis clos, est notifié, par l'envoi d'une copie complète, à : - M. T.________ (pour I.________Ltd),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