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PE15.009774 vom 21. Oktober 2016</w:t>
      </w:r>
    </w:p>
    <w:p>
      <w:r>
        <w:t>VD Tribunal cantonal, 2016-10-21, FR</w:t>
      </w:r>
    </w:p>
    <w:p>
      <w:r>
        <w:rPr>
          <w:b/>
        </w:rPr>
        <w:t xml:space="preserve">Quelle: </w:t>
      </w:r>
      <w:r>
        <w:t>https://mcp.opencaselaw.ch/entscheid/vd_gerichte_PE15.009774</w:t>
      </w:r>
    </w:p>
    <w:p>
      <w:r>
        <w:t>FR: VD_GERICHTE PE15.009774 du 21 octobre 2016</w:t>
      </w:r>
    </w:p>
    <w:p>
      <w:r>
        <w:t>IT: VD_GERICHTE PE15.009774 del 21 ottobre 2016</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w:t>
      </w:r>
    </w:p>
    <w:p>
      <w:r>
        <w:t>- 3 - Tribunal cantonal (art. 13 LVCPP [loi vaudoise d’introduction du Code de procédure pénale suisse; RSV 312.01]; art. 80 LOJV [loi vaudoise d’organisation judiciaire; RSV 173.01]). Interjeté dans le délai légal par le prévenu qui a qualité pour recourir (art. 382 al. 1 CPP) dans la mesure où il conteste la mise à sa charge des frais de procédure (CREP 12 novembre 2013/677),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que la mise à sa charge des frais de procédure, par 620 francs. La valeur litigieuse place donc le recours dans la compétence d’un membre de la Chambre des recours pénale en qualité de juge unique (art. 395 let. b CPP).</w:t>
      </w:r>
    </w:p>
    <w:p>
      <w:r>
        <w:rPr>
          <w:b/>
        </w:rPr>
        <w:t>E. 2.1</w:t>
      </w:r>
    </w:p>
    <w:p>
      <w:r>
        <w:t>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w:t>
      </w:r>
    </w:p>
    <w:p>
      <w:r>
        <w:t>- 4 -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5.1.2; Chapuis, in : Kuhn/Jeanneret [éd.], Commentaire romand, Code de procédure pénale suisse, Bâle 2011, n. 2 ad art. 426 CPP) – et a provoqué ainsi l'ouverture d'une enquête pénale ou compliqué celle-ci (TF 6B_87/2012 du 27 avril 2012 consid. 1.2; ATF 116 Ia 162 consid. 2d p. 171 et cconsid. 2e p. 175). Seul un comportement fautif et contraire à une règle juridique, qui soit en relation de causalité avec les frais imputés, entre en ligne de compte (TF 6B_387/2009 du 20 octobre 2009 c. 1.1; TF 6B_215/2009 du 23 juin 2009 c. 2.2; ATF 119 Ia 332 consid. 1b;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L’art. 55a al. 1 CP prévoit qu’en cas de lésions corporelles simples (art. 123 ch. 2, al. 3 à 5 CP), de voies de fait réitérées (art. 126 al. 2, let. b, bbis et c CP), de menaces (art. 180 al. 2 CP) ou de contrainte (art. 181 CP), le ministère public et les tribunaux peuvent suspendre la procédure si la victime est le conjoint ou ex-conjoint de l’auteur et que l’atteinte a été commise durant le mariage ou dans l’année qui a suivi le divorce (let. a, ch. 1) ou si la victime ou, lorsqu’elle n’a pas l’exercice des</w:t>
      </w:r>
    </w:p>
    <w:p>
      <w:r>
        <w:t>- 5 -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3 CP).</w:t>
      </w:r>
    </w:p>
    <w:p>
      <w:r>
        <w:rPr>
          <w:b/>
        </w:rPr>
        <w:t>E. 2.3</w:t>
      </w:r>
    </w:p>
    <w:p>
      <w:r>
        <w:t>En l’espèce, les versions des parties ne sont pas totalement convergentes et on ne peut exclure totalement une part de responsabilité de l’épouse dans l’enchaînement des évènements. Toutefois, il est établi, le recourant l’ayant admis (P. 4, p. 5 ; P. 12), qu’il a donné plusieurs gifles à son épouse lors de l’altercation. Par ce geste, il a manifestement commis un acte illicite, portant atteinte aux droits de la personnalité de la plaignante (art. 28 CC [Code civil; RS 210]). Dans ce contexte, c’est à bon droit que le Ministère public a fait application de l’art. 426 al. 2 CPP. Toutefois, il est vrai que la procédure prévue par l’art. 55a CP vise un apaisement dans le cadre d’infractions entre conjoints ou partenaires et que la mise des frais exclusivement à la charge de l’un d’eux peut s’avérer inadéquate ou contre-productive dans certains cas de figure, surtout lorsque la situation financière des parties est très précaire et que cette indigence est précisément à l’origine des faits ayant donné lieu à l’altercation. Dans ce contexte très particulier, il peut s’avérer justifié de statuer sur les frais en équité et, à titre exceptionnel, de laisser entièrement ou partiellement les frais à la charge de l’Etat. On rappellera en effet que l’art. 426 al. 2 CPP laisse une marge d’appréciation importante à l’autorité puisqu’il s’agit d’une possibilité (Kannvorschrift) et non d’une obligation (Mussvorschrift) (Moreillon/Parein-Reymond, Petit Commentaire du Code de procédure pénale, Bâle 2016, n. 10 ad art. 426 CPP, p. 1403). Vu le contexte très particulier que présente cette affaire et en tenant compte notamment des incertitudes planant sur le début de l’altercation entre les époux, de la situation financière précaire du couple</w:t>
      </w:r>
    </w:p>
    <w:p>
      <w:r>
        <w:t>- 6 - et du repentir sincère du recourant, qui a admis son geste, il apparaît justifié de réduire en équité à 200 fr. la part des frais mise à la charge du recourant et de laisser le solde à la charge de l’Etat, étant au surplus précisé qu’il est loisible au prévenu de solliciter des facilités de paiement auprès du service de recouvrement pour s’acquitter des frais de procédure au moyen d’acomptes.</w:t>
      </w:r>
    </w:p>
    <w:p>
      <w:r>
        <w:rPr>
          <w:b/>
        </w:rPr>
        <w:t>E. 3</w:t>
      </w:r>
    </w:p>
    <w:p>
      <w:r>
        <w:t>Il résulte de ce qui précède que le recours doit être admis partiellement et l’ordonnance du 27 septembre 2016 réformée en ce sens que seule une partie des frais de procédure, par 200 fr., est mise à la charge de R.________, le solde, par 420 fr. étant laissé à la charge de l’Etat; l’ordonnance est maintenue pour le surplus. Les frais de la procédure de recours, constitués en l’espèce de l'émolument d'arrêt (art. 422 al. 1 CPP), par 540 fr. (art. 20 al. 1 TFIP [tarif des frais de procédure et indemnités en matière pénale du 28 septembre 2010; RSV 312.03.1]), seront laissés à la charge de l’Etat (art. 423 et 428 al. 1 CPP). Par ces motifs, le juge unique prononce : I. Le recours est partiellement admis. II. L’ordonnance du 27 septembre 2016 est réformée au chiffre II de son dispositif en ce sens que les frais de procédure sont mis par 200 fr. à la charge de R.________, le solde, par 420 fr., étant laissé à la charge de l’Etat. L’ordonnance est maintenue pour le surplus. III. Les frais d’arrêt, par 540 fr., sont laissés à la charge de l’Etat. IV. L’arrêt est exécutoire.</w:t>
      </w:r>
    </w:p>
    <w:p>
      <w:r>
        <w:t>- 7 - Le juge unique : La greffière : Du Le présent arrêt, dont la rédaction a été approuvée à huis clos, est notifié, par l'envoi d'une copie complète, à : - M. R.________, - Ministère public central, et communiqué à : - M. le Procureur de l’arrondissement de l’Est vaudois, - Mme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