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PE15.009393 vom 27. November 2015</w:t>
      </w:r>
    </w:p>
    <w:p>
      <w:r>
        <w:t>VD Tribunal cantonal, 2015-11-27, FR</w:t>
      </w:r>
    </w:p>
    <w:p>
      <w:r>
        <w:rPr>
          <w:b/>
        </w:rPr>
        <w:t xml:space="preserve">Quelle: </w:t>
      </w:r>
      <w:r>
        <w:t>https://mcp.opencaselaw.ch/entscheid/vd_gerichte_PE15.009393</w:t>
      </w:r>
    </w:p>
    <w:p>
      <w:r>
        <w:t>FR: VD_GERICHTE PE15.009393 du 27 novembre 2015</w:t>
      </w:r>
    </w:p>
    <w:p>
      <w:r>
        <w:t>IT: VD_GERICHTE PE15.009393 del 27 novembre 2015</w:t>
      </w:r>
    </w:p>
    <w:p>
      <w:pPr>
        <w:pStyle w:val="Heading2"/>
      </w:pPr>
      <w:r>
        <w:t>Erwägungen</w:t>
      </w:r>
    </w:p>
    <w:p>
      <w:r>
        <w:rPr>
          <w:b/>
        </w:rPr>
        <w:t>E. 1</w:t>
      </w:r>
    </w:p>
    <w:p>
      <w:r>
        <w:t>Z.________ est né le 21 août 1938 en Valais. Marié et à la retraite, il perçoit une rente AVS de couple. Il est propriétaire d'une maison dont les frais hypothécaires se montent à environ 15'000 fr. par année. Il fait l'objet de poursuites. Son casier judiciaire est vierge. L'extrait du fichier ADMAS fait état de deux avertissements et un retrait de permis pour excès de vitesse en, respectivement, 2008, 2010 et 2013.</w:t>
      </w:r>
    </w:p>
    <w:p>
      <w:r>
        <w:rPr>
          <w:b/>
        </w:rPr>
        <w:t>E. 1.1</w:t>
      </w:r>
    </w:p>
    <w:p>
      <w:r>
        <w:t>Interjeté dans les formes et délais légaux (art. 399 CPP) contre le jugement du tribunal de première instance ayant clos la procédure (art. 398 al. 1 CPP), l'appel de Z.________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w:t>
      </w:r>
    </w:p>
    <w:p>
      <w:r>
        <w:t>- 4 -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6B_1247/2013 du 13 mars 2014 consid. 1.2 et les réf. citées).</w:t>
      </w:r>
    </w:p>
    <w:p>
      <w:r>
        <w:rPr>
          <w:b/>
        </w:rPr>
        <w:t>E. 2</w:t>
      </w:r>
    </w:p>
    <w:p>
      <w:r>
        <w:t>L’appelant conteste sa condamnation pour violation simple des règles de la circulation routière. Il conteste toute manipulation de son téléphone portable de la main gauche et soutient qu'en raison d'un dispositif mains-libres situé sur la droite de son véhicule, il n'avait pas à tenir son téléphone, et celui-ci ne pouvait se trouver du côté gauche du véhicule.</w:t>
      </w:r>
    </w:p>
    <w:p>
      <w:r>
        <w:rPr>
          <w:b/>
        </w:rPr>
        <w:t>E. 2.1</w:t>
      </w:r>
    </w:p>
    <w:p>
      <w:r>
        <w:t>Aux termes de l'art. 31 al. 1 LCR (Loi fédérale du 19 décembre 1958 sur la circulation routière ; RS 741.01), le conducteur doit rester constamment maître de son véhicule de façon à pouvoir se conformer aux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w:t>
      </w:r>
    </w:p>
    <w:p>
      <w:r>
        <w:t>- 5 - d’information ou de communication. La violation simple de cette règle de circulation est punie de l’amende (art. 90 al. 1 LCR ; cf. TF 6B_965/2011 du 17 mai 2011 consid. 2.1). Le degré de l’attention requise par l’art. 3 al. 1 OCR s’apprécie au regard des circonstances de l’espèce, telles que la densité du trafic, la configuration des lieux, l’heure, la visibilité et les sources de danger prévisibles (ATF 127 II 302 consid.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2e et 3e phr. OCR).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(TF 6B_1183/2014 du 27 octobre 2015 consid. 1.4 et 1.6 ; ATF 120 IV 63 consid. 2d, JT 1994 I 697).</w:t>
      </w:r>
    </w:p>
    <w:p>
      <w:r>
        <w:t>- 6 -</w:t>
      </w:r>
    </w:p>
    <w:p>
      <w:r>
        <w:rPr>
          <w:b/>
        </w:rPr>
        <w:t>E. 2.2</w:t>
      </w:r>
    </w:p>
    <w:p>
      <w:r>
        <w:t>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w:t>
      </w:r>
    </w:p>
    <w:p>
      <w:r>
        <w:rPr>
          <w:b/>
        </w:rPr>
        <w:t>E. 2.3</w:t>
      </w:r>
    </w:p>
    <w:p>
      <w:r>
        <w:t>Le rapport de police du 5 février 2015 (P. 5) mentionne que l'attention des policiers a été attirée par le véhicule de l'appelant qui circulait en zigzaguant sur la voie de droite. En dépassant ce dernier, ils ont constaté que l'appelant ne vouait pas son attention à la route et à la circulation, étant tête baissée et manipulant son téléphone portable de sa main gauche. Interpellé sur les raisons de la manipulation, l'appelant avait déclaré ne plus se souvenir de ce qu'il faisait avec son appareil. Un message était toutefois en cours d'écriture. Ce rapport a été confirmé par le gendarme B.________ à l'audience de première instance (jgt., p. 5). Dans son opposition, l'appelant a contesté toute manipulation de son téléphone portable mais a admis l’avoir décroché de son support fixe en raison d'un appel en cours (cf. P. 5). Lors des débats de première instance, il a affirmé n’avoir jamais écrit de message et avoir eu la main libre. Il a en outre confirmé qu’il avait mangé une pomme et suivait les gendarmes (jgt., p. 4). En l’espèce, les déclarations des dénonciateurs et du prévenu sont divergentes. Il n’existe toutefois aucune raison de mettre en doute les déclarations concordantes des dénonciateurs, agents publics assermentés, aucun élément ne permettant de douter de leur crédibilité, d’autant que les déclarations du prévenu ont été fluctuantes. Les gendarmes n’ont aucun intérêt à l’issue de la procédure, contrairement à l'appelant qui s’est offusqué du retrait de permis d’un mois prononcé par l’autorité administrative à la suite de cette contravention. Le fait que ce</w:t>
      </w:r>
    </w:p>
    <w:p>
      <w:r>
        <w:t>- 7 - dernier soit droitier et qu'il disposait d'un kit mains-libres dans son véhicule, ce qu'il a en effet démontré devant le Tribunal de police, ne l'empêchaient pas de tenir son téléphone portable et de rédiger un message de la main gauche. Par cette manipulation, l'appelant a rendu plus difficile la conduite de son véhicule puisqu'il a zigzagué sur la chaussée. En outre, la manipulation a duré plus d’un court instant au sens de la jurisprudence du Tribunal fédéral, puisque la voiture de police a eu le temps de remarquer le véhicule de l'appelant qui zigzaguait, de remonter à sa hauteur et de le voir manipuler son téléphone portable de la main gauche en ayant la tête baissée. Une telle occupation, qui impliquait de détourner son attention de la route le temps de rédiger un message, viole manifestement la règle de l’art. 3 al. 1 OCR. Enfin, le prévenu a encore mangé une pomme alors qu’il suivait la voiture des gendarmes, faisant ainsi preuve d’une désinvolture certaine. En définitive, l'état de fait du jugement attaqué n’a pas été établi de manière arbitraire ou en violation du droit. La condamnation de l’appelant pour violation simple des règles de la circulation (art. 90 al. 1 LCR) doit dès lors être confirmée.</w:t>
      </w:r>
    </w:p>
    <w:p>
      <w:r>
        <w:rPr>
          <w:b/>
        </w:rPr>
        <w:t>E. 3</w:t>
      </w:r>
    </w:p>
    <w:p>
      <w:r>
        <w:t>Il résulte de ce qui précède que l’appel de Z.________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