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PE15.008746 vom 30. November 2016</w:t>
      </w:r>
    </w:p>
    <w:p>
      <w:r>
        <w:t>VD Tribunal cantonal, 2016-11-30, FR</w:t>
      </w:r>
    </w:p>
    <w:p>
      <w:r>
        <w:rPr>
          <w:b/>
        </w:rPr>
        <w:t xml:space="preserve">Quelle: </w:t>
      </w:r>
      <w:r>
        <w:t>https://mcp.opencaselaw.ch/entscheid/vd_gerichte_PE15.008746</w:t>
      </w:r>
    </w:p>
    <w:p>
      <w:r>
        <w:t>FR: VD_GERICHTE PE15.008746 du 30 novembre 2016</w:t>
      </w:r>
    </w:p>
    <w:p>
      <w:r>
        <w:t>IT: VD_GERICHTE PE15.008746 del 30 novembre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devant l’autorité de recours (art. 322 al. 2 et 396 al. 1 CPP). En l'espèce, interjeté en temps utile devant l’autorité compétente, par les parties plaignantes qui ont qualité pour recourir (art. 382 al. 1 CPP), et satisfaisant aux conditions de forme prescrites (art. 385 al. 1 CPP), le recours formé par A.S.________ et B.S.________ est recevable.</w:t>
      </w:r>
    </w:p>
    <w:p>
      <w:r>
        <w:rPr>
          <w:b/>
        </w:rPr>
        <w:t>E. 2.1</w:t>
      </w:r>
    </w:p>
    <w:p>
      <w:r>
        <w:t>Les recourants contestent l’existence d’un cas de légitime défense et font grief au Procureur d’avoir violé le principe in dubio pro duriore. Ils considèrent que si le Procureur avait eu des doutes sur la culpabilité, il devait renvoyer Q.________ devant le Tribunal de police au même titre que les autres protagonistes.</w:t>
      </w:r>
    </w:p>
    <w:p>
      <w:r>
        <w:rPr>
          <w:b/>
        </w:rPr>
        <w:t>E. 2.2.1</w:t>
      </w:r>
    </w:p>
    <w:p>
      <w:r>
        <w:t>Selon l'art. 319 al. 1 CPP, le Ministère public ordonne le classement de tout ou partie de la procédure lorsqu'aucun soupçon justifiant une mise en accusation n'est établi (let. a), lorsque les éléments</w:t>
      </w:r>
    </w:p>
    <w:p>
      <w:r>
        <w:t>- 7 -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w:t>
      </w:r>
    </w:p>
    <w:p>
      <w:r>
        <w:rPr>
          <w:b/>
        </w:rPr>
        <w:t>E. 2.2.2</w:t>
      </w:r>
    </w:p>
    <w:p>
      <w:r>
        <w:t>En vertu de l’art. 15 CP (Code pénal suisse du 21 décembre 1937 ; RS 311.0), quiconque, de manière contraire au droit, est attaqué ou menacé d’une attaque imminente a le droit de repousser l’attaque par des moyens proportionnés aux circonstances. La légitime défense fait partie des motifs de classement visés par l'art. 319 al. 1 let. c CPP (CREP 21 août 2014/595 ; Roth,</w:t>
      </w:r>
    </w:p>
    <w:p>
      <w:r>
        <w:t>- 8 - in : Kuhn/Jeanneret [éd.], Commentaire romand, Code de procédure pénale suisse, Bâle 2011, n. 4 ad art. 319 CPP ; Grädel/Heiniger, in : Niggli/Heer/Wiprächtiger [éd.], Basler Kommentar, Schweizerische Strafprozessordnung, Jugendstrafprozessordnung, 2e éd., Bâle 2014, n. 11 ad art. 319 CPP).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w:t>
      </w:r>
    </w:p>
    <w:p>
      <w:r>
        <w:t>- 9 - part et d'autre. Encore faut-il que le résultat de cette pesée des dangers en présence soit reconnaissable sans peine par celui qui veut repousser l'attaque, l'expérience enseignant qu'il doit réagir rapidement (ATF 136 IV 49 consid. 3.2, JdT 2010 IV 159 ; ATF 107 IV 12 consid. 3 ; ATF 102 IV 65 consid. 2a).</w:t>
      </w:r>
    </w:p>
    <w:p>
      <w:r>
        <w:rPr>
          <w:b/>
        </w:rPr>
        <w:t>E. 2.2.3</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Selon la jurisprudence, l’auteur n’agit pas de manière coupable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consid. 3.2 ; ATF 102 IV 1, JdT 1977 IV 69).</w:t>
      </w:r>
    </w:p>
    <w:p>
      <w:r>
        <w:rPr>
          <w:b/>
        </w:rPr>
        <w:t>E. 2.3</w:t>
      </w:r>
    </w:p>
    <w:p>
      <w:r>
        <w:t>En l’occurrence, il ressort du dossier que A.S.________ et B.S.________ ont subi des lésions corporelles causées par le prévenu Q.________ (P. 6/2 et 6/3 ; P. 7/2 et 7/3). Le Procureur a cependant considéré que ces lésions corporelles relevaient de l’exercice de la légitime défense par Q.________, qui serait proportionnée en raison du fait que les recourants l’auraient agressé sans laisser de place à d’éventuels pourparlers, les autres blessures de ceux-ci ayant été causées par les coups qu’ils avaient eux-mêmes donnés aux différents protagonistes de l’altercation et leurs chutes répétées dans les buissons.</w:t>
      </w:r>
    </w:p>
    <w:p>
      <w:r>
        <w:t>- 10 - Il ressort également du dossier que A.S.________ et B.S.________ se sont rendus chez Q.________ pour manifester leur mécontentement. Toutefois, la suite des évènements, soit les raisons qui ont par exemple amené le prévenu Q.________ à pousser A.S.________ dans la haie, ne sont pas claires. Il semblerait que A.S.________ se soit muni d’un manche de pioche de 60 cm de long et de 10 cm de circonférence qu’il dissimulait avec sa main et que ce soit pour cette raison que le prévenu aurait poussé A.S.________ dans la haie et aurait fait de même avec son fils B.S.________ venu en renfort. Q.________ aurait donc donné le premier coup. Il s’en est suivi une bagarre durant laquelle les agissements des uns et des autres ne sont, en l’état actuel du dossier, pas clairs. Le classement rendu en faveur de Q.________ ne paraît ainsi pas adéquat puisque les éléments au dossier ne révèlent pas un état de fait suffisamment précis et ne permettent en l’état pas de confirmer l’existence d’une légitime défense, celle-ci n’étant toutefois pas exclue. Il convient ainsi d’engager l’accusation également contre Q.________ pour lésions corporelles simples et de le renvoyer en jugement en relation avec les faits survenus dans la nuit du 14 au 15 juillet 2015. Le classement en faveur de l’intimé pour contravention à la LCR (Loi fédérale sur la circulation routière du 19 décembre 1958; RS 741.01) pourra quant à lui être confirmé. 3. En définitive, le recours doit être admis et le dossier de la cause retourné au Ministère public de l’arrondissement du Nord vaudois pour qu’il procède dans le sens des considérants (cf. consid. 2.3 supra). Les recourants, qui obtiennent gain de cause et qui ont procédé avec l’assistance d’un avocat de choix, ont droit à une juste indemnité pour les dépenses occasionnées par la procédure, au sens de l’art. 433 CPP, applicable par renvoi de l’art. 436 al. 1 CPP (TF 6B_1065/2015 du 15 septembre 2016 consid. 3.2). Au vu du mémoire produit, cette indemnité sera fixée à 300 fr. (1 heure à 300 fr.), plus un montant correspondant à la TVA – étant rappelé que si les indemnités au</w:t>
      </w:r>
    </w:p>
    <w:p>
      <w:r>
        <w:t>- 11 -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24 fr., soit 324 fr. au total. Elle sera allouée à A.S.________ et à B.S.________, créanciers solidaires, et mise à la charge de Q.________, qui succombe (art. 428 al. 1 CPP ; Mizel/Rétornaz, in Kuhn/Jeanneret [éd.], op. cit., n. 1 ad art. 436 CPP, p. 1913 ; Schmid, Schweizerische Strafprozessordnung, Praxiskommentar, 2e éd., Zurich St- Gall 2013, n. 1 ad art. 436 CPP). Les frais de la procédure de recours, constitués en l’espèce de l’émolument d'arrêt, par 1’210 fr. (art. 20 al. 1 TFIP [tarif des frais judiciaires de procédure et indemnités en matière pénale du 28 septembre 2010 ; RSV 312.03.1]), seront également mis à la charge de Q.________, qui succombe (art. 428 al. 1 CPP). Par ces motifs, la Chambre des recours pénale prononce : I. Le recours est admis. II. L’ordonnance du 13 septembre 2016 est annulée en tant qu’elle met Q.________ au bénéfice d’un classement pour lésions corporelles simples. L’ordonnance est confirmée pour le surplus. III. Le dossier de la cause est renvoyé au Ministère public de l’arrondissement du Nord vaudois pour qu’il procède dans le sens des considérants. IV. L’indemnité due à A.S.________ et B.S.________, créanciers solidaires, pour la procédure de recours, est fixée à 324 fr. (trois cent vingt-quatre francs). V. Les frais d’arrêt, par 1’210 fr. (mille deux cent dix francs) ainsi que l’indemnité allouée aux recourants, solidairement entre</w:t>
      </w:r>
    </w:p>
    <w:p>
      <w:r>
        <w:t>- 12 - eux, par 324 fr. (trois cent vingt-quatre francs), sont mis à la charge de Q.________. VI. L’arrêt est exécutoire. Le président : La greffière : Du Le présent arrêt, dont la rédaction a été approuvée à huis clos, est notifié, par l'envoi d'une copie complète, à : - Me Paul-Arthur Treyvaud, avocat (pour A.S.________ et B.S.________), - Me Guy Longchamp, avocat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 ATF 138 IV 86 consid. 4.1.1 ; ATF 138 IV 186 consid. 4.1 ; TF 1B_272/2011 du 22 mars 2012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