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PE15.008288 vom 14. Oktober 2016</w:t>
      </w:r>
    </w:p>
    <w:p>
      <w:r>
        <w:t>VD Tribunal cantonal, 2016-10-14, FR</w:t>
      </w:r>
    </w:p>
    <w:p>
      <w:r>
        <w:rPr>
          <w:b/>
        </w:rPr>
        <w:t xml:space="preserve">Quelle: </w:t>
      </w:r>
      <w:r>
        <w:t>https://mcp.opencaselaw.ch/entscheid/vd_gerichte_PE15.008288</w:t>
      </w:r>
    </w:p>
    <w:p>
      <w:r>
        <w:t>FR: VD_GERICHTE PE15.008288 du 14 octobre 2016</w:t>
      </w:r>
    </w:p>
    <w:p>
      <w:r>
        <w:t>IT: VD_GERICHTE PE15.008288 del 14 ottobre 2016</w:t>
      </w:r>
    </w:p>
    <w:p>
      <w:pPr>
        <w:pStyle w:val="Heading2"/>
      </w:pPr>
      <w:r>
        <w:t>Erwägungen</w:t>
      </w:r>
    </w:p>
    <w:p>
      <w:r>
        <w:rPr>
          <w:b/>
        </w:rPr>
        <w:t>E. 1.1</w:t>
      </w:r>
    </w:p>
    <w:p>
      <w:r>
        <w:t>Le défenseur d’office peut recourir devant l’autorité de recours (cf. art. 20 CPP [Code de procédure pénale suisse du 5 octobre 2007; RS 312.0])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déposé en temps utile devant l’autorité compétente par le défenseur d’office qui a qualité pour recourir contre la décision fixant son indemnité. Il convient donc d’entrer en matière sur le recours.</w:t>
      </w:r>
    </w:p>
    <w:p>
      <w:r>
        <w:t>- 4 -</w:t>
      </w:r>
    </w:p>
    <w:p>
      <w:r>
        <w:rPr>
          <w:b/>
        </w:rPr>
        <w:t>E. 1.2</w:t>
      </w:r>
    </w:p>
    <w:p>
      <w:r>
        <w:t>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2.1</w:t>
      </w:r>
    </w:p>
    <w:p>
      <w:r>
        <w:t>Le défenseur d'office est indemnisé conformément au tarif des avocats de la Confédération ou du canton du for du procès (art. 135 al. 1 CPP). Le défenseur d'office a, en particulier,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w:t>
      </w:r>
    </w:p>
    <w:p>
      <w:r>
        <w:rPr>
          <w:b/>
        </w:rPr>
        <w:t>E. 2.2</w:t>
      </w:r>
    </w:p>
    <w:p>
      <w:r>
        <w:t>En l’espèce, la recourante relève tout d’abord avoir chiffré à 32 heures la durée consacrée personnellement au dossier et non à 25 h 45. Elle conteste par ailleurs l’indemnisation de divers courriers et mémos. Elle fait valoir que ses opérations ont impliqué 41 courriers divers, facturés de manière variable selon le temps consacré à leur traitement, et que le prononcé ne précise pas sur quelle base seule une durée réduite par unité avait été retenue pour 29 de ces courriers. Selon elle, une durée de douze minutes d’activité par courrier serait « pour le moins adéquate », étant rappelé que l’avocat doit bénéficier d’une marge d’appréciation suffisante pour déterminer l’importance du travail exigée par l’affaire. Dès lors, les 29 courriers en cause devraient, toujours selon la recourante, être indemnisés à hauteur de douze minutes l’unité, soit de 0,20 h, et non de six (même si les motifs du prononcé font état d’une durée unitaire utile de dix minutes), soit à raison de 36 fr. par courrier, TVA en plus. Pour le reste, la recourante indique n’avoir consacré que trois minutes à chacune des quatre lettres de compliments (mémos) adressés dans le traitement du dossier; un montant supplémentaire total de 36 fr., TVA en plus, devrait donc être pris en compte à ce titre. Pour le reste, la recourante ne conteste pas l’indemnisation du travail de sa stagiaire, y compris les vacations et autres débours y relatifs, celle-ci ayant été équitablement effectuée.</w:t>
      </w:r>
    </w:p>
    <w:p>
      <w:r>
        <w:rPr>
          <w:b/>
        </w:rPr>
        <w:t>E. 2.3</w:t>
      </w:r>
    </w:p>
    <w:p>
      <w:r>
        <w:t>Il ressort du prononcé que la Présidente a ramené de 25 heures et 45 minutes à 20 heures et 45 minutes la durée d’activité de l’avocate tenue pour utile en retranchant, en chiffre rond, 10 minutes l’unité pour 29 courriers et en supprimant 20 minutes pour les mémos. Comme cela ressort du prononcé, une durée d’activité d’avocat de 20 heures et 45 implique des honoraires de 3'735 fr. hors TVA, au tarif horaire de 180 francs.</w:t>
      </w:r>
    </w:p>
    <w:p>
      <w:r>
        <w:t>- 6 - Ce calcul procède cependant d’une erreur préalable, en ce sens que la durée d’activité personnelle de la recourante (donc abstraction faite de celle de sa stagiaire) figurant sur la liste d’opérations est de 32 heures, et non de 25 heures et 45 minutes. Cela étant, les arguments avancés par la recourante sont pertinents. En effet, 0,20 heure ne correspond pas à 20 minutes, mais à un cinquième d’heure, soit à 12 minutes. Une telle durée ne paraît en l’espèce pas excessive. Conformément aux conclusions du recours, on retiendra donc 12 minutes par courrier, pour 29 courriers. Comme l’a relevé le premier juge, il est vrai qu’aux termes de la jurisprudence (cf. notamment CREP 4 mai 2016/294 consid. 2.5; CREP 3 mars 2016/158 consid. 2.1 in fine), l’envoi de mémos constitue un pur travail de secrétariat qui n’a pas à être indemnisé. Compte tenu du montant négligeable que cela représente en l’espèce, il n’y a toutefois pas lieu de procéder à leur retranchement. La durée d’activité de 32 heures d’avocate réclamée est ainsi adéquate. Elle justifie des honoraires de 5'760 fr., hors TVA. Quant au total, la durée d’activité de la stagiaire, de six heures et quart, incontestée, n’est pas comprise dans la durée d’activité de 32 heures d’avocate retenue par ailleurs. On arrive ainsi bien à une durée d’activité totale de 38 heures et quart. Pour le reste, les frais de vacations et autres débours ne sont pas contestés. En conséquence, l’indemnité qu’il convient d’allouer à la recourante doit être fixée à 8’821 fr. 10 (5'760 fr. de travail d’avocat, 687 fr. 50 de travail d’avocat stagiaire, ainsi que 1'720 fr. 20 de débours et vacations, plus 653 fr. 40 de TVA), sous déduction de l’avance de 4'440 fr. déjà versée.</w:t>
      </w:r>
    </w:p>
    <w:p>
      <w:r>
        <w:t>- 7 - 3. Il résulte de ce qui précède que le recours doit être admis et le prononcé attaqué réformé au chiffre II de son dispositif dans le sens qui précède. La recourante obtenant gain de cause, les frais de la procédure de recours, constitués d’abord de l’émolument d'arrêt, par 630 fr. (art. 20 al. 1 TFIP [Tarif des frais de procédure et indemnités en matière pénale du 28 septembre 2010; RSV 312.03.1]), seront laissés à la charge de l’Etat (art. 423 al. 1 CPP).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2e éd., Bâle 2014, nn. 16 et 18 ad art. 135 CPP; Juge unique CREP 9 novembre 2011/477). Au vu du mémoire produit et du résultat obtenu, l'indemnité qu'il convient d'allouer à ce titre à la recourante doit être fixée à 180 fr., plus la TVA, par 14 fr. 40, soit à 194 fr. 40 au total, à la charge de l’Etat. Par ces motifs, le juge unique prononce : I. Le recours est admis. II. Le prononcé du 7 septembre 2016 est réformé au chiffre II de son dispositif comme il suit : « II. fixe à CHF 8’821.10 l’indemnité due à Me K.________, dont à déduire l’avance de CHF 4'440.- déjà versée ». Le prononcé est maintenu pour le surplus. III. Une indemnité de 194 fr. 40 (cent nonante-quatre francs et quarante centimes) est allouée à l’avocate K.________ pour la procédure de recours, à la charge de l'Etat.</w:t>
      </w:r>
    </w:p>
    <w:p>
      <w:r>
        <w:t>- 8 - IV. Les frais d’arrêt, par 630 fr. (six cent trente francs), sont laissés à la charge de l’Etat. V. L’arrêt est exécutoire. Le juge unique : Le greffier : Du Le présent arrêt, dont la rédaction a été approuvée à huis clos, est notifié, par l'envoi d'une copie complète, à : - Me K.________, - M. Q.________, - Ministère public central, et communiqué à : - Mme la Présidente du Tribunal correctionnel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- 9 - pénal fédéral dans un délai de dix jours dès la notification de l’arrêt attaqué (art. 396 al. 1 CPP). Le greffier :</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Juge unique CREP 29 février 2012/99). L’autorité chargée d’apprécier le caractère raisonnable des démarches effectuées par l’avocat d’office dispose d’un large pouvoir</w:t>
      </w:r>
    </w:p>
    <w:p>
      <w:r>
        <w:t>- 5 - d’appréciation (ATF 141 I 124 consid. 3.2). Elle doit juger de l’adéquation entre les activités déployées par le conseil d’office et celles qui sont justifiées par l’accomplissement de la tâche (TF 6B_675/2015 du 2 mars 2016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