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PE15.007655 vom 31. März 2017</w:t>
      </w:r>
    </w:p>
    <w:p>
      <w:r>
        <w:t>VD Tribunal cantonal, 2017-03-31, FR</w:t>
      </w:r>
    </w:p>
    <w:p>
      <w:r>
        <w:rPr>
          <w:b/>
        </w:rPr>
        <w:t xml:space="preserve">Quelle: </w:t>
      </w:r>
      <w:r>
        <w:t>https://mcp.opencaselaw.ch/entscheid/vd_gerichte_PE15.007655</w:t>
      </w:r>
    </w:p>
    <w:p>
      <w:r>
        <w:t>FR: VD_GERICHTE PE15.007655 du 31 mars 2017</w:t>
      </w:r>
    </w:p>
    <w:p>
      <w:r>
        <w:t>IT: VD_GERICHTE PE15.007655 del 31 marzo 2017</w:t>
      </w:r>
    </w:p>
    <w:p>
      <w:pPr>
        <w:pStyle w:val="Heading2"/>
      </w:pPr>
      <w:r>
        <w:t>Erwägungen</w:t>
      </w:r>
    </w:p>
    <w:p>
      <w:r>
        <w:rPr>
          <w:b/>
        </w:rPr>
        <w:t>E. 3.1</w:t>
      </w:r>
    </w:p>
    <w:p>
      <w:r>
        <w:t>Le recourant soutient que le prévenu se serait rendu coupable de mise en danger de la vie d’autrui.</w:t>
      </w:r>
    </w:p>
    <w:p>
      <w:r>
        <w:rPr>
          <w:b/>
        </w:rPr>
        <w:t>E. 3.2</w:t>
      </w:r>
    </w:p>
    <w:p>
      <w:r>
        <w:t>L’art. 129 CP réprime le comportement de celui qui, sans scrupule, aura mis autrui en danger de mort imminent. Cette infraction suppose la réunion de trois éléments, à savoir la mise d'autrui dans un danger de mort imminent, la conscience de ce fait et l'absence de scrupules.</w:t>
      </w:r>
    </w:p>
    <w:p>
      <w:r>
        <w:t>- 5 -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(JdT 2016 III 97, arrêt confirmé par TF 6B_876/2015 du 2 mai 2016 consid. 2.1 et les arrêts cités). Du point de vue subjectif, il faut que l'auteur ait agi intentionnellement et que l'acte ait été commis sans scrupules (sur cette condition, voir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6B_876/2015 précité ; TF 6B_307/2013 du 13 juin 2013 consid. 4.1).</w:t>
      </w:r>
    </w:p>
    <w:p>
      <w:r>
        <w:rPr>
          <w:b/>
        </w:rPr>
        <w:t>E. 3.3</w:t>
      </w:r>
    </w:p>
    <w:p>
      <w:r>
        <w:t>En l’espèce, le prévenu a indiqué qu’il n’était pas en mesure de conduire un véhicule entre les 26 et 28 mai 2015, une attelle immobilisant un doigt de sa main droite et celle-ci étant entièrement bandée. Il a produit à cet égard une attestation médicale sommaire du Centre Médical de La Source (P. 27/5). J.________, compagne du prévenu, a confirmé que celui-ci ne se trouvait pas à Prilly le 27 mai 2015 (PV aud. 3). Le recourant affirme toutefois que deux témoins auraient vu le prévenu au</w:t>
      </w:r>
    </w:p>
    <w:p>
      <w:r>
        <w:t>- 6 - volant de son véhicule à cette date. Une déclaration écrite de C.________ du 30 août 2015 figure d’ailleurs au dossier (P. 22/1). En outre, l’attestation médicale semble être contredite par les pièces 3 et 4 produites à l’appui du recours (cf. P. 35/2). Enfin, selon la facture du 24 juin 2015 (P. 27/2), il apparait que si la main du prévenu a bien été bandée le 26 mai 2015, la pose d’une attelle thermoformée a quant à elle eu lieu le 28 mai 2015 seulement. Ainsi, on ne peut exclure que le prévenu ait été au volant de son véhicule le 27 mai 2015. Par ailleurs, entendu lors d’une confrontation avec le prévenu le 8 juillet 2016, le recourant a expliqué ne pas s’être « vraiment rendu compte de ce qui se passait » et ne pas avoir « eu le temps d’avoir peur ». Il avait entendu un coup d’accélérateur provenant du véhicule du prévenu et dû s’écarter. Il a en outre indiqué que c’était C.________ qui avait dû lui décrire la scène (PV aud. 2, p. 2). Les événements se sont donc déroulés extrêmement rapidement. Au vu de ces éléments, une mise en danger de la vie d’autrui ne peut, à ce stade, être exclue sans avoir procédé à un complément d’instruction. Il conviendra en particulier que le Procureur procède notamment à l’audition, en qualité de témoins, de C.________ et de I.________.</w:t>
      </w:r>
    </w:p>
    <w:p>
      <w:r>
        <w:rPr>
          <w:b/>
        </w:rPr>
        <w:t>E. 4.1</w:t>
      </w:r>
    </w:p>
    <w:p>
      <w:r>
        <w:t>Le recourant soutient que le prévenu se serait rendu coupable de violation simple des règles de la circulation routière.</w:t>
      </w:r>
    </w:p>
    <w:p>
      <w:r>
        <w:rPr>
          <w:b/>
        </w:rPr>
        <w:t>E. 4.2</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La notion de lésé est définie à l'art. 115 CPP. Il s'agit de toute personne dont les droits ont été touchés directement par une infraction.</w:t>
      </w:r>
    </w:p>
    <w:p>
      <w:r>
        <w:t>- 7 - En règle générale, seul peut se prévaloir d'une atteinte directe le titulaire du bien juridique protégé par la disposition pénale qui a été enfreinte (ATF 141 IV 1 consid. 3.1).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 TF 6B_1289/2015 du 20 juin 2016 consid. 2.2).</w:t>
      </w:r>
    </w:p>
    <w:p>
      <w:r>
        <w:rPr>
          <w:b/>
        </w:rPr>
        <w:t>E. 4.3</w:t>
      </w:r>
    </w:p>
    <w:p>
      <w:r>
        <w:t>Aux termes de l’art. 90 LCR (Loi fédérale sur la circulation routière du 19 décembre 1958 ; RS 741.01),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Les règles de la LCR protègent directement la fluidité du trafic sur les routes publiques et de ce fait l’intérêt public. Les intérêts individuels comme la vie et l'intégrité corporelle ou la propriété, respectivement le patrimoine, ne sont qu'indirectement protégés. La personne impliquée dans un accident qui ne subit que de simples dégâts matériels n'est dès lors pas lésée au sens des art. 115 et 118 CPP dans la procédure pénale contre le responsable d'une violation des règles de la circulation routière. Il en va différemment de la personne qui a subi un dommage corporel, d’une certaine gravité, apparaissant comme la conséquence directe de l’acte dénoncé (ATF 138 IV 258 consid. 3.1, 3.2 et 4.1, JdT 2013 IV 214 ; CREP 9 mars 2016/176 ; CREP 3 décembre 2015/299 ; CREP 7 août 2013/488).</w:t>
      </w:r>
    </w:p>
    <w:p>
      <w:r>
        <w:t>- 8 -</w:t>
      </w:r>
    </w:p>
    <w:p>
      <w:r>
        <w:rPr>
          <w:b/>
        </w:rPr>
        <w:t>E. 4.4</w:t>
      </w:r>
    </w:p>
    <w:p>
      <w:r>
        <w:t>En l’espèce et au vu de la jurisprudence précitée (cf. supra consid. 4.3), le recourant, qui n’a subi aucun dommage corporel particulier, ne saurait se voir reconnaître la qualité de lésé s’agissant de l’infraction de violation simple ou grave des règles de la circulation routière. Faute d’intérêt juridiquement protégé, le recours est par conséquent irrecevable sur ce point.</w:t>
      </w:r>
    </w:p>
    <w:p>
      <w:r>
        <w:rPr>
          <w:b/>
        </w:rPr>
        <w:t>E. 5</w:t>
      </w:r>
    </w:p>
    <w:p>
      <w:r>
        <w:t>En définitive, le recours doit être admis dans la mesure où il est recevable. L'ordonnance attaquée sera confirmée en tant qu’elle ordonne le classement de la procédure pénale pour violation simple des règles de la circulation routière et annulée pour le surplus. Le dossier de la cause sera renvoyé au Ministère public de l'arrondissement de Lausanne pour qu’il procède dans le sens des considérants. Les frais de la procédure de recours, constitués en l’espèce de l’émolument d’arrêt, par 990 fr. (art. 20 al. 1 TFIP [tarif des frais de procédure et indemnités en matière pénale du 28 septembre 2010; RSV 312.03.1]), seront mis pour moitié à la charge du recourant et pour moitié à la charge de l’intimé, l’un et l’autre succombant partiellement (art. 428 al. 1 CPP). Le recourant, qui a partiellement obtenu gain de cause et qui a procédé avec l'assistance d’un conseil de choix, a droit à une indemnité pour les dépenses occasionnées dans la procédure de recours au sens de l’art. 433 CPP, applicable par renvoi de l’art. 436 al. 1 CPP (TF 6B_1065/2015 du 15 septembre 2016 consid. 3.2). Trois heures d’activité seront retenues, sur la base d’un tarif horaire de 300 fr. (art. 26a al. 3 TFIP), soit un montant de 900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w:t>
      </w:r>
    </w:p>
    <w:p>
      <w:r>
        <w:t>- 9 - par 72 fr., soit un total de 972 francs. Cette indemnité sera toutefois réduite de moitié dans la mesure où E.________ n’a que partiellement obtenu gain de cause sur son recours. C’est donc un montant de 486 fr. qui doit être alloué au recourant et mis à la charge de l’intimé qui succombe en partie (art. 428 al. 1 CPP ; Mizel/Rétornaz, in : Kuhn/Jeanneret [éd.], Commentaire romand, Code de procédure pénale suisse, Bâle 2011, n. 1 ad art. 436 CPP ; Schmid, Schweizerische Strafprozessordnung, Praxiskommentar, 2e éd., Zurich St-Gall 2013, n. 1 ad art. 436 CPP). Quant à l’intimé, qui a également partiellement obtenu gain de cause puisqu’il a conclu au rejet du recours et qui a procédé avec l’assistance d’un conseil professionnel, il a droit à une indemnité pour les dépenses occasionnées par l’exercice raisonnable de ses droits dans la procédure de recours (art. 429 al. 1 let. a CPP, applicable par renvoi de l’art. 436 al. 1 CPP). Celle-ci sera fixée sur la base d’une activité d’avocat de deux heures, au tarif horaire de 300 francs. L’indemnité s’élève donc à 600 fr., plus un montant correspondant à la TVA de 48 fr., soit à un total de 648 francs. Le montant qui doit être alloué à G.________ doit toutefois être réduit de moitié, dans la mesure où l’intéressé n’a que partiellement obtenu gain de cause, ce qui correspond à une indemnité de 324 fr., laquelle sera mise à la charge du recourant qui succombe en partie (art. 428 al. 1 CPP). Au vu des indemnités réciproques qui doivent être versées, il se justifie de les compenser. Ainsi, c’est un montant de 162 fr. (486 fr. – 324 fr.) que G.________ devra verser à E.________ à titre d’indemnité pour la procédure de recours.</w:t>
      </w:r>
    </w:p>
    <w:p>
      <w:r>
        <w:t>- 10 - Par ces motifs, la Chambre des recours pénale prononce : I. Le recours est admis dans la mesure où il est recevable. II. L’ordonnance du 19 janvier 2017 est confirmée en tant qu’elle ordonne le classement de la procédure pénale dirigée contre G.________ pour violation simple des règles de la circulation routière et annulée pour le surplus. III. Le dossier de la cause est renvoyé au Ministère public de l'arrondissement de Lausanne pour qu’il procède dans le sens des considérants. IV. Les frais du présent arrêt, par 990 fr. (neuf cent nonante francs), sont mis pour moitié à la charge d’E.________, soit par 495 fr. (quatre cent nonante-cinq francs), et pour moitié à la charge de G.________, soit par 495 fr. (quatre cent nonante- cinq francs). V. Une indemnité de 162 fr. (cent soixante-deux francs) est allouée à E.________ pour la procédure de recours, à la charge de G.________. VI. L’arrêt est exécutoire. Le président : La greffière : Du Le présent arrêt, dont la rédaction a été approuvée à huis clos, est notifié, par l'envoi d'une copie complète, à : - Me Patricia Spack Isenrich, avocate (pour E.________), - Me Julien Lanfranconi, avocat (pour G.________), - Ministère public central,</w:t>
      </w:r>
    </w:p>
    <w:p>
      <w:r>
        <w:t>- 11 -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