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PE15.007024 vom 25. August 2016</w:t>
      </w:r>
    </w:p>
    <w:p>
      <w:r>
        <w:t>VD Tribunal cantonal, 2016-08-25, FR</w:t>
      </w:r>
    </w:p>
    <w:p>
      <w:r>
        <w:rPr>
          <w:b/>
        </w:rPr>
        <w:t xml:space="preserve">Quelle: </w:t>
      </w:r>
      <w:r>
        <w:t>https://mcp.opencaselaw.ch/entscheid/vd_gerichte_PE15.007024</w:t>
      </w:r>
    </w:p>
    <w:p>
      <w:r>
        <w:t>FR: VD_GERICHTE PE15.007024 du 25 août 2016</w:t>
      </w:r>
    </w:p>
    <w:p>
      <w:r>
        <w:t>IT: VD_GERICHTE PE15.007024 del 25 agosto 2016</w:t>
      </w:r>
    </w:p>
    <w:p>
      <w:pPr>
        <w:pStyle w:val="Heading2"/>
      </w:pPr>
      <w:r>
        <w:t>Erwägungen</w:t>
      </w:r>
    </w:p>
    <w:p>
      <w:r>
        <w:rPr>
          <w:b/>
        </w:rPr>
        <w:t>E. 5</w:t>
      </w:r>
    </w:p>
    <w:p>
      <w:r>
        <w:t>Vu ce qui précède, l'appel doit être partiellement admis. Le jugement attaqué sera réformé dans le sens de ce qui précède et confirmé pour le surplus. Vu le sort de l'appel, les frais de la procédure d'appel seront mis par deux tiers à la charge de l'appelant,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