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PE15.006627 vom 19. August 2016</w:t>
      </w:r>
    </w:p>
    <w:p>
      <w:r>
        <w:t>VD Tribunal cantonal, 2016-08-19, FR</w:t>
      </w:r>
    </w:p>
    <w:p>
      <w:r>
        <w:rPr>
          <w:b/>
        </w:rPr>
        <w:t xml:space="preserve">Quelle: </w:t>
      </w:r>
      <w:r>
        <w:t>https://mcp.opencaselaw.ch/entscheid/vd_gerichte_PE15.006627</w:t>
      </w:r>
    </w:p>
    <w:p>
      <w:r>
        <w:t>FR: VD_GERICHTE PE15.006627 du 19 août 2016</w:t>
      </w:r>
    </w:p>
    <w:p>
      <w:r>
        <w:t>IT: VD_GERICHTE PE15.006627 del 19 agosto 2016</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En l’espèce, interjeté dans le délai légal et dans les formes prescrites (cf. art. 385 al. 1 CPP), le recours de K.________ SA est recevable dans la mesure où il conteste le classement de la procédure s’agissant de l’infraction de gestion fautive.</w:t>
      </w:r>
    </w:p>
    <w:p>
      <w:r>
        <w:t>- 6 - Tel n’est en revanche pas le cas s’agissant de l’infraction de contrainte. En effet, K.________ SA a déclaré retirer sa plainte concernant cet aspect par courrier du 30 septembre 2015 (P. 6). Un retrait de plainte limité à certains aspects juridiques déterminés du comportement de l'auteur est en effet possible (cf. Dupuis et al. [éd.], Petit commentaire, Code pénal, Bâle 2012, n. 6 ad art. 33 CP). Or, un tel retrait est irrévocable et définitif (Dupuis et al. [éd.], op. cit., n. 9 ad art. 33 CP). Force est par conséquent de constater que K.________ SA n’a pas la qualité pour recourir contre le classement prononcé pour cette infraction (cf. art. 382 al. 1 CPP). Il convient ainsi de n’entrer en matière sur le recours que dans la mesure où il conteste le classement s’agissant de l’infraction de gestion fautive.</w:t>
      </w:r>
    </w:p>
    <w:p>
      <w:r>
        <w:rPr>
          <w:b/>
        </w:rPr>
        <w:t>E. 2.1</w:t>
      </w:r>
    </w:p>
    <w:p>
      <w:r>
        <w:t>Bien que ne le formulant pas expressément, K.________ SA requiert l’annulation de l’ordonnance de classement. Relevant qu’en date du 31 décembre 2013, C.________ Sàrl ne détenait pour seul actif qu’un montant de 247 fr. 50, la recourante fait valoir que cette somme aurait été largement insuffisante pour prendre, comme l’ont fait les intimés, des conclusions civiles à hauteur de plusieurs milliers de francs à son encontre, ce d’autant plus qu'ils n’avaient constitué aucune provision en cas de rejet de leur action. La recourante considère également que la situation de C.________ Sàrl ne se serait pas aggravée à la fin de l’année 2014, mais déjà à partir du 9 mai 2014, date à laquelle la demande des intimés a été rejetée et C.________ Sàrl condamnée à verser des dépens à K.________ SA. Or, au lieu de déposer le bilan comme ils auraient dû le faire et dans un but purement dilatoire, les prévenus ont recouru au Tribunal fédéral, aggravant davantage la situation de leur société finalement condamnée au paiement de frais additionnels. Enfin, la recourante requiert un complétement d’instruction sur le sort d’un montant de 200'000 fr. obtenu par C.________ Sàrl en 2001 à la suite d’un transfert de propriété de logiciels, en soutenant que les prévenus auraient fallacieusement nié son existence.</w:t>
      </w:r>
    </w:p>
    <w:p>
      <w:r>
        <w:t>- 7 -</w:t>
      </w:r>
    </w:p>
    <w:p>
      <w:r>
        <w:rPr>
          <w:b/>
        </w:rPr>
        <w:t>E. 2.2.1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2014, n. 8 ad art. 319 CPP, p. 2476),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p. 2477).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consid.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6B_2/2014 du 26</w:t>
      </w:r>
    </w:p>
    <w:p>
      <w:r>
        <w:t>- 8 - juin 2014 consid. 3.1 ; TF 6B_797/2013 précité consid. 2.1; ATF 138 IV 86 consid. 4.1.2).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24 mars 2014/226 consid. II/2 ; CREP 11 avril 2014/280 consid. 2a).</w:t>
      </w:r>
    </w:p>
    <w:p>
      <w:r>
        <w:rPr>
          <w:b/>
        </w:rPr>
        <w:t>E. 2.2.2</w:t>
      </w:r>
    </w:p>
    <w:p>
      <w:r>
        <w:t>Aux termes de l’art. 165 ch. 1 CP, le débiteur qui, de manières autres que celles visées à l'art. 164 CP, aura,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causé ou aggravé son surendettement, causé sa propre insolvabilité ou aggravé sa situation alors qu'il se savait insolvable, sera, s'il a été déclaré en faillite ou si un acte de défaut de biens a été dressé contre lui, puni d'une peine privative de liberté de cinq ans au plus ou d'une peine pécuniaire. L'art. 165 ch. 1 CP, pris dans son ensemble, ne laisse planer aucun doute sur le fait que tombe sous le coup de cette disposition quiconque aura commis un acte prévu par le texte légal, dès lors que cet acte est propre, ce que l'auteur doit savoir, à contribuer à causer l'insolvabilité ou à aggraver une insolvabilité qui existait déjà. Quant à l'insolvabilité, il suffit que l'auteur l'ait causée ou favorisée par une négligence grave, l'intention de la provoquer n'étant pas nécessaire. Il découle de la structure et de la fonction de l'art. 165 ch. 1 CP que sont réprimés celui qui connaissait le risque d'insolvabilité et a consciemment pris ce risque, ou celui qui en a nié l'existence de façon irresponsable; il y a légèreté coupable lorsque, par un comportement fautif, l'auteur fait preuve d'un manque du sens des responsabilités; il ne s'agit pas de la différence entre l'intention et la négligence, mais d'une qualification</w:t>
      </w:r>
    </w:p>
    <w:p>
      <w:r>
        <w:t>- 9 - particulière des actes de l'auteur. C'est en premier lieu en fonction des dispositions spécifiques qui définissent les devoirs de l'auteur qu'il convient de déterminer s'il a usé des précautions commandées par les circonstances et sa situation personnelle. En résumé, il ne s'agit pas de faire la différence entre l'intention et la négligence proprement dite, mais d'apprécier l'attitude de l'auteur d'une manière particulière. D'après la structure et la fonction de la norme pénale en cause, l'auteur est puni pour avoir dû reconnaître le risque de l'insolvabilité et pour l'avoir pris, ou pour l'avoir nié d'une manière irresponsable. Quant au rapport de causalité adéquate, il existe lorsque, selon le cours ordinaire des choses et l'expérience générale de la vie, l'acte reproché à l'accusé est de nature à produire le résultat illicite ou à en favoriser l'avènement; il n'est pas nécessaire que les actes reprochés soient seuls à l'origine du résultat, ni qu'ils en soient la cause directe (ATF 115 IV 38 consid. 2, JdT 1990 IV 128 et les références citées; CREP 24 mars 2016/206). Il ne suffit pas, pour conclure à l'existence d'une gestion fautive punissable, de constater a posteriori que les choix ne se sont pas révélés les plus opportuns. L'art. 165 CP ne tend à réprimer que des comportements qui, indiscutablement, dénotent un manque du sens des responsabilités (Corboz, Les infractions en droit suisse, vol. I, 3e éd., Berne 2010, n. 5 ad art. 165 CP et les références citées).</w:t>
      </w:r>
    </w:p>
    <w:p>
      <w:r>
        <w:rPr>
          <w:b/>
        </w:rPr>
        <w:t>E. 2.3</w:t>
      </w:r>
    </w:p>
    <w:p>
      <w:r>
        <w:t>En l’espèce, aux termes d'une première sentence arbitrale rendue le 12 novembre 2009, les prévenus ont obtenu gain de cause, la recourante ayant été condamnée à leur verser les montants de 212'747 fr. 50 et de 19'152 fr., avec intérêts. Cette sentence ayant été annulée, les prévenus ont recouru jusqu’au Tribunal fédéral pour tenter d’obtenir à nouveau raison, sans succès. Le fait que C.________ Sàrl ait été condamnée au paiement de frais additionnels dans le cadre de cette procédure ne suffit pas pour retenir que les prévenus se sont rendus coupables de gestion fautive. Dans la mesure où la survie de leur société dépendait de l'issue de ce procès et où une première sentence leur avait donné raison, on ne saurait considérer qu'ils ont fait preuve d'un manque du sens des responsabilités indiscutable au sens où la jurisprudence l'exige. Les</w:t>
      </w:r>
    </w:p>
    <w:p>
      <w:r>
        <w:t>- 10 - conséquences financières liées à la perte du procès ayant été comptabilisées au 31 décembre 2014 et le bilan déposé le mois suivant, on ne distingue aucun élément susceptible de fonder des indices de gestion fautive au sens de l’art. 165 CP. Par conséquent, l’appréciation du procureur ne prête pas le flanc à la critique et doit être confirmée. S’agissant du complément d’instruction requis par la recourante qui semble vouloir démontrer que les prévenus se sont rendus coupables de bradage de valeurs patrimoniales au sens de l'art. 165 CP, on relèvera que la facture à laquelle elle se réfère date du 4 janvier 2001. Compte tenu de son ancienneté, on ne distingue pas quel serait le lien de causalité existant avec l'insolvabilité qui a abouti à la faillite de C.________ Sàrl en 2015. Ce grief doit donc également être rejeté.</w:t>
      </w:r>
    </w:p>
    <w:p>
      <w:r>
        <w:rPr>
          <w:b/>
        </w:rPr>
        <w:t>E. 3</w:t>
      </w:r>
    </w:p>
    <w:p>
      <w:r>
        <w:t>En définitive, le recours doit être rejeté dans la mesure où il est recevable et l’ordonnance attaquée confirmée. Les frais de la procédure de recours, constitués en l'espèce de l'émolument d'arrêt, par 1'100 fr. (art. 20 al. 1 TFIP [tarif des frais de procédure et indemnités en matière pénal du 28 septembre 2010, RSV 312.03.1]), seront mis à la charge de K.________ SA, qui succombe (art. 428 al. 1 CPP). Les intimés ayant procédé par l’intermédiaire d’un défenseur de choix, une indemnité au sens de l’art. 436 al. 1 CPP, fixée à 756 fr. (correspondant à une activité de deux heures au tarif horaire de 350 fr., TVA comprise), leur sera allouée à la charge de la recourante. Par ces motifs, la Chambre des recours pénale prononce : I. Le recours est rejeté dans la mesure où il est recevable. II. L’ordonnance de classement du 17 juin 2016 est confirmée.</w:t>
      </w:r>
    </w:p>
    <w:p>
      <w:r>
        <w:t>- 11 - III. Les frais du présent arrêt, par 1'100 fr. (mille cent francs), sont mis à la charge de K.________ SA. IV. Une indemnité au sens de l’art. 436 al. 1 CPP de 756 fr. (sept cent cinquante-six francs) est allouée à O.________ et H.________, solidairement entre eux, à la charge de K.________ SA. V. L’arrêt est exécutoire. Le président : La greffière : Du Le présent arrêt, dont la rédaction a été approuvée à huis clos, est notifié, par l'envoi d'une copie complète, à : - Me Otto Guth, avocat (pour K.________ SA), - Me Albert J. Graf, avocat (pour O.________ et H.________),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