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PE15.005072 vom 24. August 2015</w:t>
      </w:r>
    </w:p>
    <w:p>
      <w:r>
        <w:t>VD Tribunal cantonal, 2015-08-24, FR</w:t>
      </w:r>
    </w:p>
    <w:p>
      <w:r>
        <w:rPr>
          <w:b/>
        </w:rPr>
        <w:t xml:space="preserve">Quelle: </w:t>
      </w:r>
      <w:r>
        <w:t>https://mcp.opencaselaw.ch/entscheid/vd_gerichte_PE15.005072</w:t>
      </w:r>
    </w:p>
    <w:p>
      <w:r>
        <w:t>FR: VD_GERICHTE PE15.005072 du 24 août 2015</w:t>
      </w:r>
    </w:p>
    <w:p>
      <w:r>
        <w:t>IT: VD_GERICHTE PE15.005072 del 24 agosto 2015</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w:t>
      </w:r>
    </w:p>
    <w:p>
      <w:r>
        <w:t>- 4 -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le recourant est prévenu de voies de fait qualifiées et d’injure à l’égard de son épouse, B.M.________. Lors d’une dispute, il lui aurait craché dessus et l’aurait injuriée, comportement qu’il aurait déjà adopté à plusieurs reprises par le passé. Au vu de ces faits, la peine qu’il encourt pour les voies de fait sont une amende et pour l’injure</w:t>
      </w:r>
    </w:p>
    <w:p>
      <w:r>
        <w:t>- 5 - une peine pécuniaire de courte durée, probablement accompagnée du sursis, compte tenu de l’absence d’antécédents du recourant en la matière. Le recourant admet d’ailleurs lui-même que la procédure dirigée contre lui présente peu de gravité concernant l’aspect pénal. Il soutient toutefois que l’issue de ladite procédure pourrait avoir une influence considérable sur la procédure de mesures protectrices de l’union conjugale, actuellement en cours, notamment sur le droit de visite sur ses enfants (Recours, p. 8, pt. 5). En l’occurrence, on ne voit pas qu’une procédure pénale relative à des disputes, entre époux exclusivement, puisse avoir une quelconque influence sur la procédure civile, que ce soit au niveau de l’attribution de la garde ou de la fixation du droit de visite. Par conséquent, c’est à raison que le Ministère public a considéré que l’affaire était de peu de gravité. De surcroît, il n’apparaît pas que la cause présente objectivement, sur le plan des faits ou du droit, des difficultés que le recourant ne pourrait pas surmonter sans l’assistance d’un avocat au sens de l’art. 132 CPP. Enfin, on peut relever que B.M.________ n’est pas non plus assistée par un défenseur dans le cadre de cette procédure, l’égalité des armes étant ainsi respectée. L’une des conditions cumulatives de la défense d’office faisant défaut, il n’y a pas lieu d’examiner la seconde, soit l’indigence du recourant (art. 132 al. 1 let. b CPP). Au vu de ce qui précède, l’assistance d’un avocat n’est pas nécessaire à la sauvegarde des intérêts du recourant au sens de l’art. 132 al. 2 et 3 CPP,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Compte tenu de l’issue de la procédure, la requête de désignation d’un défenseur d’office présentée par C.M.________ pour la</w:t>
      </w:r>
    </w:p>
    <w:p>
      <w:r>
        <w:t>- 6 - procédure de recours – étant rappelé que l’assistance judiciaire comprenant l’exonération des frais de procédure ne peut être demandée que par la partie plaignante (cf. art. 136 CPP) – doit également être rejetée (CREP 8 septembre 2014/654, et les références citées ; Ruckstuhl, in : Niggli/Heer/Wiprächtiger [éd.], Basler Kommentar, Schweizerische Strafprozess-ordnung, Jugendstrafprozessordnung, 2e éd., Bâle 2014, n. 10 ad art. 132 CPP).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1er juillet 2015 est confirmée. III. La requête tendant à la désignation d’un défenseur d’office pour la procédure de recours est rejetée. IV. Les frais du présent arrêt, par 660 fr. (six cent soixante francs), sont mis à la charge de C.M.________. V. Le présent arrêt est exécutoire. Le président: La greffière :</w:t>
      </w:r>
    </w:p>
    <w:p>
      <w:r>
        <w:t>- 7 - Du Le présent arrêt, dont la rédaction a été approuvée à huis clos, est notifié, par l'envoi d'une copie complète, à : - M. Jean-Michel Duc, avocat (pour C.M.________), - Mme B.M.________,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