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PE15.004849 vom 26. Mai 2015</w:t>
      </w:r>
    </w:p>
    <w:p>
      <w:r>
        <w:t>VD Tribunal cantonal, 2015-05-26, FR</w:t>
      </w:r>
    </w:p>
    <w:p>
      <w:r>
        <w:rPr>
          <w:b/>
        </w:rPr>
        <w:t xml:space="preserve">Quelle: </w:t>
      </w:r>
      <w:r>
        <w:t>https://mcp.opencaselaw.ch/entscheid/vd_gerichte_PE15.004849</w:t>
      </w:r>
    </w:p>
    <w:p>
      <w:r>
        <w:t>FR: VD_GERICHTE PE15.004849 du 26 mai 2015</w:t>
      </w:r>
    </w:p>
    <w:p>
      <w:r>
        <w:t>IT: VD_GERICHTE PE15.004849 del 26 maggio 2015</w:t>
      </w:r>
    </w:p>
    <w:p>
      <w:pPr>
        <w:pStyle w:val="Heading2"/>
      </w:pPr>
      <w:r>
        <w:t>Erwägungen</w:t>
      </w:r>
    </w:p>
    <w:p>
      <w:r>
        <w:rPr>
          <w:b/>
        </w:rPr>
        <w:t>E. 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Interjeté dans le délai légal auprès de l’autorité compétente par la partie plaignante qui a la qualité pour recourir (cf. art. 382 al. 1 CPP), le recours est recevable.</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au classement).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w:t>
      </w:r>
    </w:p>
    <w:p>
      <w:r>
        <w:t>- 4 - pro duriore » exige donc simplement qu'en cas de doute, la procédure se poursuive. Pratiquement, une mise en accusation s'impose lorsqu'une condamnation apparaît plus vraisemblable qu'un acquittement (ATF 137 IV 219 c. 7; ATF 138 IV 86 c. 4.1.1; ATF 138 IV 186 c. 4.1; TF 1B_272/2011 du 22 mars 2012 c. 3.1.1).</w:t>
      </w:r>
    </w:p>
    <w:p>
      <w:r>
        <w:rPr>
          <w:b/>
        </w:rPr>
        <w:t>E. 3.1</w:t>
      </w:r>
    </w:p>
    <w:p>
      <w:r>
        <w:t>Conformément à l'art. 14 CP, quiconque agit comme la loi l'ordonne ou l'autorise se comporte de manière licite, même si l'acte est punissable en vertu de ce même code. Cette disposition reprend en substance l'art. 32 aCP, de sorte que la jurisprudence y relative conserve sa pertinence. La licéité de l'acte est, en tous les cas, subordonnée à la condition qu'il soit proportionné à son but (ATF 107 IV 84 c. 4). Il faut donc se demander si le préjudice porté aux droits de tiers n'excède pas ce qui est nécessaire pour atteindre le but qui le justifie (ATF 107 IV 84, précité, c. 4 et 4a; ATF 94 IV 5 c. 1 et 2a), en tenant compte des circonstances du cas d'espèce, soit de la justification et du type de la mesure prise, ainsi que des moyens et du temps dont disposait l'intéressé, selon la représentation qu'il avait des faits au moment où il a agi (TF 6B_930/2008 du 15 janvier 2009 c. 3.1 et la référence citée). Le respect de la proportionnalité est une question de droit, qui relève avant tout de l'appréciation, laquelle doit intervenir en se replaçant dans les circonstances concrètes du cas, en tenant compte de la réalité du terrain – notamment en matière d'intervention policière – de l'urgence ou encore de l'état de tension dans lequel l'auteur pouvait être légitimement plongé. Ainsi, les autorités judiciaires ne doivent pas se livrer à des raisonnements a posteriori trop subtils pour établir si l'auteur des mesures de défense n'aurait pas pu ou dû se contenter d'avoir recours à des moyens moins dommageables (Monnier, Commentaire romand, Bâle 2009, n. 5 ad art. 14-18 CP, p. 172 et les références citées).</w:t>
      </w:r>
    </w:p>
    <w:p>
      <w:r>
        <w:t>- 5 -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op. cit., n. 21 ad art. 14-18 CP, p. 174 et la référence citée).</w:t>
      </w:r>
    </w:p>
    <w:p>
      <w:r>
        <w:rPr>
          <w:b/>
        </w:rPr>
        <w:t>E. 3.2</w:t>
      </w:r>
    </w:p>
    <w:p>
      <w:r>
        <w:t>Aux termes de l’art. 218 al. 1 CPP, un particulier est autorisé à arrêter provisoirement une personne lorsqu’elle est surprise en flagrant délit de crime ou de délit (let. a) ou lorsque la population a été appelée à prêter son concours à la recherche de cette personne (let. b), lorsque l’aide de la police ne peut être obtenue à temps. Par particulier, il faut entendre toute personne qui n’est pas membre des forces de police ; cette définition comprend toute personne privée, ceci même si elle exerce des tâches qui pourraient être assimilées à des tâches de police comme les membres de service de sécurité privée, les détectives privés ou encore les contrôleurs dans les bus ou les trains (Schmocker, in: Kuhn/Jeanneret (éd.), Commentaire romand, Code de procédure pénale suisse, Bâle 2011, nn. 7 ss ad art. 218 CPP). L’usage par des tiers d’entreprises spécialisées dans la surveillance de lieux pour prévenir des violences ou des actes contraires à la propriété ne confère pas un pouvoir illimité à ces dernières. Elles peuvent tout au plus prévenir, dénoncer, voire intercepter l’auteur d’un crime ou d’un délit. Pour le reste, les mesures de contrainte sont du ressort de la police (Albertini/Armbruster, in: Niggli/Heer/Wiprächtiger (éd.), Basler Kommentar, Schweizerische Strafprozessordnung, Bâle 2011, n. 3 ad art. 218 CPP).</w:t>
      </w:r>
    </w:p>
    <w:p>
      <w:r>
        <w:t>- 6 - L’art. 15 al. 2 du Concordat du 18 octobre 1996 sur les entreprises de sécurité [RSV 935.91] prévoit également un recours à la force limité à la légitime défense et à l’état de nécessité. Aux termes de l’art. 4 al. 1 du concordat précité, les missions des entreprises de sécurité sont la surveillance ou la garde de biens mobiliers ou immobiliers (let. a), la protection des personnes (let. b) et le transport de sécurité de biens ou de valeurs (let. c). Dans le cadre de ces missions, de par la nature même de leurs activités, les agents de sécurité peuvent être amenés à recourir à la force. Ils doivent toutefois agir dans les limites rappelées ci-dessus. Ainsi, l’admissibilité du recours à la force doit s’examiner, en ce qui concerne les agents de sécurité, essentiellement au regard du principe de la proportionnalité.</w:t>
      </w:r>
    </w:p>
    <w:p>
      <w:r>
        <w:rPr>
          <w:b/>
        </w:rPr>
        <w:t>E. 3.3</w:t>
      </w:r>
    </w:p>
    <w:p>
      <w:r>
        <w:t>En l'espèce, il ressort tant du recours que du rapport de police (P. 5) que le recourant, aviné, a été sorti à plusieurs reprises de l’enceinte de la fête et a tenté d’y revenir une énième fois en escaladant la grille et en passant par le vestiaire, ce qui était interdit. Par ailleurs, le recourant a pris part à une altercation aussitôt parvenu à pénétrer à l’intérieur de l’enceinte. Enfin, si le recourant conteste avoir été oppositionnel, les témoignages recueillis, repris par le rapport de police, démontrent le contraire. Dans ces conditions, les agents de sécurité ont agi dans le cadre de leurs devoirs, soit maintenir la sécurité dans le cadre d’une manifestation, notamment en vue d’identifier les fauteurs de troubles. Le recours à la contrainte physique, consistant en un plaquage et un maintien au sol, était par ailleurs proportionné aux circonstances. Ainsi, couverts par l’art. 14 CP, les agissements des agents de sécurité ne revêtent aucun caractère illicite. Quant à la morsure du chien, on peine à voir comment et quand elle est survenue. Toutefois, Q.________ ne met pas en cause le maître du chien. La décision du procureur de classer la procédure échappe donc à la critique.</w:t>
      </w:r>
    </w:p>
    <w:p>
      <w:r>
        <w:t>- 7 -</w:t>
      </w:r>
    </w:p>
    <w:p>
      <w:r>
        <w:rPr>
          <w:b/>
        </w:rPr>
        <w:t>E. 4</w:t>
      </w:r>
    </w:p>
    <w:p>
      <w:r>
        <w:t>En définitive, le recours, manifestement mal fondé, doit être rejeté sans échange d’écriture (art. 390 al. 2 CPP) et l’ordonnance de classement confirmée. Les frais de la procédure de recours, constitués en l’espèce du seul émolument d’arrêt (art. 422 al. 1 CPP), par 550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de classement du 15 avril 2015 est confirmée. III. Les frais d’arrêt, par 550 fr. (cinq cent cinquante francs), sont mis à la charge de Q.________. IV. Le présent arrêt est exécutoire. Le président : La greffière : Du Le présent arrêt, dont la rédaction a été approuvée à huis clos, est notifié, par l'envoi d'une copie complète, à : - M. Q.________, - Ministère public central,</w:t>
      </w:r>
    </w:p>
    <w:p>
      <w:r>
        <w:t>- 8 -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