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PE15.003058 vom 18. Dezember 2015</w:t>
      </w:r>
    </w:p>
    <w:p>
      <w:r>
        <w:t>VD Tribunal cantonal, 2015-12-18, FR</w:t>
      </w:r>
    </w:p>
    <w:p>
      <w:r>
        <w:rPr>
          <w:b/>
        </w:rPr>
        <w:t xml:space="preserve">Quelle: </w:t>
      </w:r>
      <w:r>
        <w:t>https://mcp.opencaselaw.ch/entscheid/vd_gerichte_PE15.003058</w:t>
      </w:r>
    </w:p>
    <w:p>
      <w:r>
        <w:t>FR: VD_GERICHTE PE15.003058 du 18 décembre 2015</w:t>
      </w:r>
    </w:p>
    <w:p>
      <w:r>
        <w:t>IT: VD_GERICHTE PE15.003058 del 18 dicembre 2015</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w:t>
      </w:r>
    </w:p>
    <w:p>
      <w:r>
        <w:t>- 6 - 139 IV 186 consid. 2; Schmocker, in : Kuhn/Jeanneret [éd.], Commentaire romand, Code de procédure pénale suisse, Bâle 2011, nn. 7 ss ad art. 221 CPP).</w:t>
      </w:r>
    </w:p>
    <w:p>
      <w:r>
        <w:rPr>
          <w:b/>
        </w:rPr>
        <w:t>E. 3.1</w:t>
      </w:r>
    </w:p>
    <w:p>
      <w:r>
        <w:t>Le recourant conteste l'existence de soupçons de culpabilité suffisants.</w:t>
      </w:r>
    </w:p>
    <w:p>
      <w:r>
        <w:rPr>
          <w:b/>
        </w:rPr>
        <w:t>E. 3.2</w:t>
      </w:r>
    </w:p>
    <w:p>
      <w:r>
        <w:t>S’agissant des soupçons qui doivent peser sur le prévenu,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TF 1B_39/2014 du 11 février 2014 consid. 2.2).</w:t>
      </w:r>
    </w:p>
    <w:p>
      <w:r>
        <w:rPr>
          <w:b/>
        </w:rPr>
        <w:t>E. 3.3</w:t>
      </w:r>
    </w:p>
    <w:p>
      <w:r>
        <w:t>En l’espèce, aucun élément nouveau significatif n’a été avancé par le recourant, qui se borne à contester une grande parties des faits reprochés. On se contentera ici de rappeler que même si H.________ a réfuté toute implication dans l’agression du 3 mars 2015, il a clairement été mis en cause par Q.________ et par le témoin présent au moment des faits (PV aud. [...] du 3 mars 2015), qui a donné une description de la scène ainsi que de l’auteur (ibidem, p. 2 R. 6). De plus, lorsqu’une planche photo comportant 16 visages a été présentée au témoin, ce dernier a reconnu le recourant (ibidem p. 3 et ses annexes). On rappellera également que les blessures causées ont nécessité une intervention chirurgicale, la plaignante ayant présenté plusieurs fractures au front, un enfoncement du front, une blessure à l’arcade droite, une petite fracture maxillaire au niveau nasal et un abaissement de deux dents. A cela s’ajoute le fait que le prévenu a admis de nombreux conflits avec la</w:t>
      </w:r>
    </w:p>
    <w:p>
      <w:r>
        <w:t>- 7 - victime, sous forme de violences verbale et physique, notamment au sujet de la garde de leur enfant. Il a également reconnu s’être présenté au domicile de la plaignante le 9 février 2015, muni d’un couteau, pour « régler ses comptes » avec le nouveau compagnon de celle-ci. Enfin, il est mis en cause par les témoignages de son père, de sa compagne au moment des faits et de la mère de la victime, qui décrivent notamment sa personnalité instable, ainsi que par les données extraites de son téléphone portable et par la présence non exclue de l’ADN de la victime sur les gants qu’il aurait portés lors de l’agression. L’ensemble de ces éléments constitue ainsi un faisceau d’indices suffisant pour justifier un maintien en détention du recourant. A cet égard, même à supposer que les versions avancées comportent des divergences, il n’appartient pas au juge de la détention d’apprécier la crédibilité de ces versions pour l’examen des indices de culpabilité. En effet, c’est au juge du fond et non à celui de sa détention qu’il incombera de faire une appréciation complète des éléments à charge et à décharge. A l’instar des premiers juges, il convient ainsi d’admettre que la première condition de l’art. 221 al. 1 CPP demeure réalisée. Par ailleurs, les faits reprochés à H.________ sont extrêmement graves.</w:t>
      </w:r>
    </w:p>
    <w:p>
      <w:r>
        <w:rPr>
          <w:b/>
        </w:rPr>
        <w:t>E. 4.1</w:t>
      </w:r>
    </w:p>
    <w:p>
      <w:r>
        <w:t>Le recourant conteste ensuite le risque de réitération retenu par les premiers juges. Il base son argumentation sur les rapports d’expertise déposés les 28 septembre 2015 et 12 novembre 2015. En effet, selon lui, les conclusions de l’expert ne corroboreraient pas sa dangerosité. Son enfermement ne constituerait pas une réponse adéquate à ses troubles et il conviendrait de privilégier un traitement ambulatoire. Il propose en outre, à titre subsidiaire, que des mesures de substitution soient ordonnées si l’existence de ce risque devait néanmoins être constatée par l’autorité de recours.</w:t>
      </w:r>
    </w:p>
    <w:p>
      <w:r>
        <w:t>- 8 -</w:t>
      </w:r>
    </w:p>
    <w:p>
      <w:r>
        <w:rPr>
          <w:b/>
        </w:rPr>
        <w:t>E. 4.2</w:t>
      </w:r>
    </w:p>
    <w:p>
      <w:r>
        <w:t>Le maintien en détention avant jugement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4.3</w:t>
      </w:r>
    </w:p>
    <w:p>
      <w:r>
        <w:t>En l’occurrence, le risque de réitération demeure concret. En particulier, il ressort du rapport d’expertise psychiatrique déposé le 28 septembre 2015 (P. 160) que le prévenu souffre d’un trouble schyzotypique, qui est à considérer comme grave en raison du fait qu’il peut altérer sa représentation du monde et sa manière d’être en relation socialement ou affectivement et du fait de la survenue d’explosions de colère peu contrôlées (P. 160, p. 15, ch. 1.2). L’expert a considéré le risque de récidive d’actes de même nature élevé (ibidem, p. 13, 3e §). Il a exposé qu’il existait un lien entre la violence de l’expertisé et ses difficultés psychiques, et qu’un certain nombre de mesures pourraient être prises pour tenter de diminuer le risque de récidive. Il a préconisé la mise en place d’un traitement ambulatoire au sens de l’art. 63 CP, sous la forme d’un encadrement psychosocial caractérisé par un suivi psychothérapeutique rapproché, avec si nécessaire à l’avenir l’introduction d’un traitement neuroleptique en fonction de l’évolution de son trouble schyzotypique, ainsi qu’un suivi social dans le but d’étayer et</w:t>
      </w:r>
    </w:p>
    <w:p>
      <w:r>
        <w:t>- 9 - de cadrer au mieux le prévenu dans une situation sociale stable, avec une rente AI ou un emploi (ibidem, p. 16, ch. 4.1). L’intéressé soutient que son enfermement ne constituerait pas une réponse adéquate aux troubles diagnostiqués, ni à sa situation personnelle, et qu’il faudrait dès à présent privilégier la mise en œuvre d’un traitement ambulatoire. Cet argument est sans pertinence, tant il est vrai que H.________ est libre de demander à pouvoir consulter un thérapeute durant sa détention pour le cas où il en ressentirait le besoin. Au vu de tous les éléments rappelés ci-dessus, et plus particulièrement compte tenu de la situation précaire du prévenu, de ses antécédents de violence, des troubles dont il souffre et du fait qu’il ne se reconnaît ni impulsif, ni agressif ou violent, le risque de récidive est patent ; il est même, contrairement à ce que soutient le recourant, renforcé par l’expertise. Partant, même si, comme H.________ le soutient, l’enfermement lui serait défavorable et lui fermerait toute possibilité d’évolution, il importe de faire primer la sécurité publique sur sa liberté. Seul un pronostic très défavorable doit être retenu. S’agissant des mesures de substitution proposées par le recourant, la Cour de céans considère, avec le premier juge, qu’elles ne sont pas à même de prévenir valablement le risque retenu.</w:t>
      </w:r>
    </w:p>
    <w:p>
      <w:r>
        <w:rPr>
          <w:b/>
        </w:rPr>
        <w:t>E. 5</w:t>
      </w:r>
    </w:p>
    <w:p>
      <w:r>
        <w:t>Pour le surplus, le principe de la proportionnalité des intérêts en présence est respecté. La détention provisoire subie et ordonnée en dernier lieu jusqu’au 3 janvier 2016 demeure proportionnée, compte tenu de la gravité des faits reprochés et de la peine encourue, étant relevé que le Ministère public a délivré son acte d’accusation le 11 décembre 2015, de sorte que l’audience de jugement devrait pouvoir être fixée assez rapidement.</w:t>
      </w:r>
    </w:p>
    <w:p>
      <w:r>
        <w:rPr>
          <w:b/>
        </w:rPr>
        <w:t>E. 6</w:t>
      </w:r>
    </w:p>
    <w:p>
      <w:r>
        <w:t>En définitive, le recours doit être rejeté sans autre échange d’écritures (art. 390 al. 2 CPP) et l'ordonnance du 30 novembre 2015 confirmée.</w:t>
      </w:r>
    </w:p>
    <w:p>
      <w:r>
        <w:t>- 10 -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H.________ ne sera toutefois exigible que pour autant que la situation économique de ce dernier se soit améliorée (art. 135 al. 4 CPP). Par ces motifs, la Chambre des recours pénale prononce : I. Le recours est rejeté. II. L’ordonnance du 30 novembre 2015 est confirmée. III. L'indemnité allouée au défenseur d'office de H.________ est fixée à 777 fr. 60 (sept cent septante-sept francs et soixante centimes). IV. Les frais du présent arrêt, par 990 fr. (neuf cent nonante francs), ainsi que l’indemnité due au défenseur d’office de H.________, par 777 fr. 60 (sept cent septante-sept francs et soixante centimes), sont mis à la charge de ce dernier. V. Le remboursement à l'Etat de l'indemnité allouée au chiffre III ci-dessus sera exigible pour autant que la situation économique de H.________ se soit améliorée. VI. Le présent arrêt est exécutoire. Le président : La greffière :</w:t>
      </w:r>
    </w:p>
    <w:p>
      <w:r>
        <w:t>- 11 - Du Le présent arrêt, dont la rédaction a été approuvée à huis clos, est notifié, par l'envoi d'une copie complète, à : - Me Christophe Tafelmacher, avocat (pour H.________) (et par fax), - Ministère public central (et par fax), et communiqué à : - Mme la Présidente du Tribunal des mesures de contrainte (et par fax), - Mme la Procureure de l’arrondissement du Nord vaudois (et par fax), - Me Roxane Mingard, avocate (pour Q.________)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