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PE15.002891 vom 27. Januar 2016</w:t>
      </w:r>
    </w:p>
    <w:p>
      <w:r>
        <w:t>VD Tribunal cantonal, 2016-01-27, FR</w:t>
      </w:r>
    </w:p>
    <w:p>
      <w:r>
        <w:rPr>
          <w:b/>
        </w:rPr>
        <w:t xml:space="preserve">Quelle: </w:t>
      </w:r>
      <w:r>
        <w:t>https://mcp.opencaselaw.ch/entscheid/vd_gerichte_PE15.002891</w:t>
      </w:r>
    </w:p>
    <w:p>
      <w:r>
        <w:t>FR: VD_GERICHTE PE15.002891 du 27 janvier 2016</w:t>
      </w:r>
    </w:p>
    <w:p>
      <w:r>
        <w:t>IT: VD_GERICHTE PE15.002891 del 27 gennaio 2016</w:t>
      </w:r>
    </w:p>
    <w:p>
      <w:pPr>
        <w:pStyle w:val="Heading2"/>
      </w:pPr>
      <w:r>
        <w:t>Erwägungen</w:t>
      </w:r>
    </w:p>
    <w:p>
      <w:r>
        <w:rPr>
          <w:b/>
        </w:rPr>
        <w:t>E. 3</w:t>
      </w:r>
    </w:p>
    <w:p>
      <w:r>
        <w:t>Il résulte de ce qui précède que le recours, manifestement mal fondé, doit être rejeté et l'ordonnance entreprise confirmée. Les frais de la procédure de recours, constitués en l’espèce du seul émolument d'arrêt (art. 422 al. 1 CPP), par 540 fr. (art. 20 al. 1 TFIP [Tarif des frais de procédure et indemnités en matière pénale du 28 septembre 2010; RSV 312.03.1]), seront mis à la charge du recourant, qui succombe (art. 428 al. 1 CPP). Par ces motifs, le juge unique prononce : I. Le recours est rejeté. II. L’ordonnance du 8 janvier 2016 est confirmée. III. Les frais d’arrêt, par 540 fr. (cinq cent quarante francs), sont mis à la charge de X.________.</w:t>
      </w:r>
    </w:p>
    <w:p>
      <w:r>
        <w:t>- 7 - IV. Le présent arrêt est exécutoire. Le juge unique : La greffière : Du Le présent arrêt, dont la rédaction a été approuvée à huis clos, est notifié, par l'envoi d'une copie complète, à : - Me Irène Schmidlin, avocate (pour X.________), - Me Olivier Carré, avocat (pour A.________),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