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PE15.002807 vom 17. Juni 2016</w:t>
      </w:r>
    </w:p>
    <w:p>
      <w:r>
        <w:t>VD Tribunal cantonal, 2016-06-17, FR</w:t>
      </w:r>
    </w:p>
    <w:p>
      <w:r>
        <w:rPr>
          <w:b/>
        </w:rPr>
        <w:t xml:space="preserve">Quelle: </w:t>
      </w:r>
      <w:r>
        <w:t>https://mcp.opencaselaw.ch/entscheid/vd_gerichte_PE15.002807</w:t>
      </w:r>
    </w:p>
    <w:p>
      <w:r>
        <w:t>FR: VD_GERICHTE PE15.002807 du 17 juin 2016</w:t>
      </w:r>
    </w:p>
    <w:p>
      <w:r>
        <w:t>IT: VD_GERICHTE PE15.002807 del 17 giugno 2016</w:t>
      </w:r>
    </w:p>
    <w:p>
      <w:pPr>
        <w:pStyle w:val="Heading2"/>
      </w:pPr>
      <w:r>
        <w:t>Erwägungen</w:t>
      </w:r>
    </w:p>
    <w:p>
      <w:r>
        <w:rPr>
          <w:b/>
        </w:rPr>
        <w:t>E. 1</w:t>
      </w:r>
    </w:p>
    <w:p>
      <w:r>
        <w:t>- 6 -</w:t>
      </w:r>
    </w:p>
    <w:p>
      <w:r>
        <w:rPr>
          <w:b/>
        </w:rPr>
        <w:t>E. 1.1</w:t>
      </w:r>
    </w:p>
    <w:p>
      <w:r>
        <w:t>E.________ est né le [...] 1966 à Lausanne. Il réside désormais en [...] où il est hébergé et entretenu par ses parents. Il n'a plus d'activité professionnelle. Sa situation financière est obérée, des poursuites étant en cours et des actes de défaut de bien ayant été délivrés à son encontre. Il est père d'un enfant vivant à [...] pour lequel il doit une contribution d'entretien dont il ne s'acquitte pas.</w:t>
      </w:r>
    </w:p>
    <w:p>
      <w:r>
        <w:rPr>
          <w:b/>
        </w:rPr>
        <w:t>E. 1.2</w:t>
      </w:r>
    </w:p>
    <w:p>
      <w:r>
        <w:t>Le casier judiciaire d’E.________ comporte les inscriptions suivantes : - 15.12.2008 : Juge d'instruction de Lausanne, peine pécuniaire à 30 jours-amende à 50 fr. le jour avec sursis pendant 3 ans, pour menaces, - 01.06.2010 : Tribunal de police de l'Est vaudois, peine pécuniaire à 60 jours-amende à 30 fr. le jour avec sursis pendant 4 ans et amende de 750 fr., ainsi que prolongation d’un an du délai d’épreuve susmentionné, pour infraction à la Loi fédérale sur la circulation routière.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E.________ fait valoir que sa condamnation pour dénonciation calomnieuse n’est pas justifiée dans la mesure où les faits qu’il a allégués sont vrais. A l’audience d’appel, il a nouveau requis, comme mesures d’instruction, qu’il soit produit, par la Banque [...] et par la Banque [...], les relevés de tous les avoirs de Z.________ déposés depuis le 1er janvier 2013 ainsi que toute pièce prouvant que cette dernière y possède un safe. Il requiert également que Z.________, subsidiairement l’administration fiscale, produise les déclarations d’impôts des années 2011 à 2015, et que plusieurs témoins soient entendus.</w:t>
      </w:r>
    </w:p>
    <w:p>
      <w:r>
        <w:rPr>
          <w:b/>
        </w:rPr>
        <w:t>E. 3.2</w:t>
      </w:r>
    </w:p>
    <w:p>
      <w:r>
        <w:t>L'art. 303 ch. 1 CP prévoit que celui qui aura dénoncé à l'autorité, comme auteur d'un crime ou d'un délit, une personne qu'il</w:t>
      </w:r>
    </w:p>
    <w:p>
      <w:r>
        <w:t>- 9 - savait innocente, en vue de faire ouvrir contre elle une poursuite pénale, sera puni d'une peine privative de liberté ou d'une peine pécuniaire. Cette disposition protège en premier lieu l’administration de la justice. Une telle dénonciation entraîne la mobilisation inutile des ressources publiques. Elle protège toutefois également les droits de la personnalité de celui qui est accusé faussement, notamment son honneur, sa liberté, sa sphère privée ou ses biens (ATF 136 IV 170 consid. 2.1 ; ATF 132 IV 20 consid. 4.1).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consid. 2 ; ATF 76 IV 244),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(cf. Corboz, Les infractions en droit suisse, vol. I, 3e éd., 2010, ad art. 174 CP).</w:t>
      </w:r>
    </w:p>
    <w:p>
      <w:r>
        <w:rPr>
          <w:b/>
        </w:rPr>
        <w:t>E. 3.3</w:t>
      </w:r>
    </w:p>
    <w:p>
      <w:r>
        <w:t>En l’espèce, les courriels adressés par E.________ aux diverses autorités administratives avaient clairement pour but de mettre en cause Z.________ pour diverses fraudes pénalement répréhensibles et de provoquer l’ouverture de plusieurs enquêtes. Or, ces allégations étaient manifestement fausses et Z.________ innocente puisque les diverses autorités alertées ont constaté qu’aucun reproche ne pouvait être fait à la plaignante et ont maintenu leurs décisions en sa faveur.</w:t>
      </w:r>
    </w:p>
    <w:p>
      <w:r>
        <w:t>- 10 - Sur le plan subjectif, le prévenu savait parfaitement que ce qu’il dénonçait n’avait aucun fondement. Cela ressort d’ailleurs manifestement du rapport écrit qu’il a remis le 10 mars 2016 au Ministère public où il a déclaré que seule la colère avait motivé ses dénonciations (P. 25, R. 5) et n’a pu apporter aucun élément probant permettant de corroborer ses dires. En outre, le prévenu a eu connaissance des conclusions des autorités démontrant l’innocence de la plaignante et il a pourtant persisté pourtant dans ses allégations sans daigner se rétracter. Le fait qu’il se prévale de la preuve de la vérité n’a d’ailleurs aucun sens. Enfin, la fausseté des allégations d’E.________ ayant été prouvée à satisfaction de droit, les mesures d’instruction qu’il a requises doivent être rejetées. Partant, la condamnation pour dénonciation calomnieuse au sens de l’art. 303 ch. 1 al. 1 CP doit être confirmée et l’appel d’E.________ sur ce point ainsi que les mesures d’instruction requises rejetés.</w:t>
      </w:r>
    </w:p>
    <w:p>
      <w:r>
        <w:rPr>
          <w:b/>
        </w:rPr>
        <w:t>E. 4.1</w:t>
      </w:r>
    </w:p>
    <w:p>
      <w:r>
        <w:t>E.________ conclut à l’octroi du sursis.</w:t>
      </w:r>
    </w:p>
    <w:p>
      <w:r>
        <w:rPr>
          <w:b/>
        </w:rPr>
        <w:t>E. 4.2.1</w:t>
      </w:r>
    </w:p>
    <w:p>
      <w:r>
        <w:t>p. 5).</w:t>
      </w:r>
    </w:p>
    <w:p>
      <w:r>
        <w:rPr>
          <w:b/>
        </w:rPr>
        <w:t>E. 4.2.2</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 sursis prévu à l'art. 42 al. 1 CP constitue la règle à laquelle on ne peut déroger qu'en présence d'un pronostic défavorable ou hautement incertain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w:t>
      </w:r>
    </w:p>
    <w:p>
      <w:r>
        <w:rPr>
          <w:b/>
        </w:rPr>
        <w:t>E. 4.3</w:t>
      </w:r>
    </w:p>
    <w:p>
      <w:r>
        <w:t>En l’espèce, l’appelant n’a pas contesté la quotité de la peine. Examinée d’office, elle paraît juste et adéquate et sera confirmée. Le montant de jour-amende fixé à 30 fr. se justifie également malgré l’absence de revenu d’E.________ dans la mesure où ce denier est entièrement entretenu par ses parents et qu’il dispose de moyens suffisants pour s’offrir les services d’un avocat de choix. S’agissant en particulier du sursis, on constatera qu’E.________ n’a fait montre d’aucune remise en question, n’ayant de cesse de</w:t>
      </w:r>
    </w:p>
    <w:p>
      <w:r>
        <w:t>- 12 - remettre en cause les investigations des services administratifs et continuant à alléguer des propos offensants quand bien même l’innocence de la plaignante a été prouvée. Son amendement est donc inexistant. A cela s’ajoutent ses antécédents pénaux qui ne l’ont pas détourné de commettre une nouvelle infraction au seul motif qu’il était en « colère ». Il est donc fort à craindre, s’il devait se retrouver dans une situation similaire, qu’il récidive à nouveau. Le pronostic quant à son comportement futur est donc clairement défavorable, si bien que le sursis doit lui être refusé. Partant, l’appel d’E.________ sur ce point doit également être rejeté.</w:t>
      </w:r>
    </w:p>
    <w:p>
      <w:r>
        <w:rPr>
          <w:b/>
        </w:rPr>
        <w:t>E. 5</w:t>
      </w:r>
    </w:p>
    <w:p>
      <w:r>
        <w:t>L’appelant conclut au rejet de l’indemnité pour tort moral requise par la plaignante en première instance comme conséquence de son acquittement. Dans la mesure où la culpabilité d’E.________ est maintenue, le sort des conclusions civiles peut être confirmé.</w:t>
      </w:r>
    </w:p>
    <w:p>
      <w:r>
        <w:rPr>
          <w:b/>
        </w:rPr>
        <w:t>E. 6</w:t>
      </w:r>
    </w:p>
    <w:p>
      <w:r>
        <w:t>En définitive, l’appel d’E.________ doit être rejeté et le jugement attaqué confirmé. Vu l'issue de la cause, les frais d’appel, constitués du seul émolument de jugement, par 1’280 fr. (art. 21 al. 1 TFIP [Tarif des frais de procédure et indemnités en matière pénale du 28 septembre 2010; RSV 312.03.1]), sont mis à la charge de l’appelant qui succombe. Une indemnité de 1'021 fr. 55 est allouée à Z.________ à titre de juste indemnité pour les dépenses occasionnées par la procédure pénale (art. 433 al. 1 CPP), à charge d’E.________</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