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PE15.002716 vom 23. November 2016</w:t>
      </w:r>
    </w:p>
    <w:p>
      <w:r>
        <w:t>VD Tribunal cantonal, 2016-11-23, FR</w:t>
      </w:r>
    </w:p>
    <w:p>
      <w:r>
        <w:rPr>
          <w:b/>
        </w:rPr>
        <w:t xml:space="preserve">Quelle: </w:t>
      </w:r>
      <w:r>
        <w:t>https://mcp.opencaselaw.ch/entscheid/vd_gerichte_PE15.002716</w:t>
      </w:r>
    </w:p>
    <w:p>
      <w:r>
        <w:t>FR: VD_GERICHTE PE15.002716 du 23 novembre 2016</w:t>
      </w:r>
    </w:p>
    <w:p>
      <w:r>
        <w:t>IT: VD_GERICHTE PE15.002716 del 23 novembre 2016</w:t>
      </w:r>
    </w:p>
    <w:p>
      <w:pPr>
        <w:pStyle w:val="Heading2"/>
      </w:pPr>
      <w:r>
        <w:t>Erwägungen</w:t>
      </w:r>
    </w:p>
    <w:p>
      <w:r>
        <w:rPr>
          <w:b/>
        </w:rPr>
        <w:t>E. 20</w:t>
      </w:r>
    </w:p>
    <w:p>
      <w:r>
        <w:t>janvier 2017, A.O.________ avait confirmé avoir repris une consommation de cannabis et d’alcool régulière et a déclaré qu’il percevait les exigences de la justice comme trop élevées, souhaitant « qu’on le lâche ». De plus, elle a précisé que suite à cet entretien, le prévenu ne s’était pas présenté à quatre rendez-vous qui avaient été fixés et n’avait fourni aucune excuse. A l’audience d’appel, le prévenu a exposé se rendre aux rendez-vous, sauf quand il oubliait. En outre, par lettre du 24 janvier 2017, la responsable d’unité du Point Rencontre a également signalé le comportement d’A.O.________, relevant notamment que l’intéressé avait notamment proféré des menaces à l’encontre de B.O.________ par l’entremise de la maman d’accueil, qu’il avait incité sa fille à dessiner sur les murs des locaux du Point Rencontre et à quitter les lieux avec un jouet ne lui appartenant pas. Il aurait également provoqué des intervenants par des propos et une attitude agressifs. La responsable a ainsi décidé de ne plus recevoir le prévenu au sein des locaux avec effet immédiat.</w:t>
      </w:r>
    </w:p>
    <w:p>
      <w:r>
        <w:t>- 14 - 1.2 Le casier judiciaire suisse d’A.O.________ fait mention des condamnations suivantes : - 31 mars 2008, par le Juge d'instruction du Nord vaudois, pour violation et violation grave des règles de la circulation routière, conducteur se trouvant dans l'incapacité de conduire (véhicule automobile, taux alcoolémie qualifié) et conduite sans permis de conduire ou malgré un retrait (véhicule automobile), à une peine pécuniaire de 60 jours-amende à 30 fr. le jour, et à une amende de 300 francs ; - 27 février 2009, par le Juge d'instruction du Nord vaudois, pour dommages à la propriété, à une peine pécuniaire de 30 jours-amende à 30 fr., peine complémentaire à celle prononcée le 31 mars 2008 ; - 12 octobre 2010, par le Juge d'instruction de La Côte, pour violation des règles de la circulation routière, violation grave des règles de la circulation routière, conducteur se trouvant dans l'incapacité de conduire (véhicule automobile, autres raisons), infractions à la Loi fédérale sur la circulation routière et contraventions à la Loi fédérale sur les stupéfiants, à une peine pécuniaire de 45 jours-amende à 50 fr. le jour ; - 6 juin 2014, par le Ministère public de l'arrondissement de Lausanne, pour dénonciation calomnieuse, dommages à la propriété, injure, violence ou menace contre les autorités et les fonctionnaires et conduite d'un véhicule automobile sans le permis de conduire requis, à une peine pécuniaire de 120 jours-amende à 20 fr. le jour, peine partiellement complémentaire à celle prononcée le 12 octobre 2010. 1.3 Dans le cadre de la présente affaire, une expertise psychiatrique a été ordonnée et a donné lieu à un rapport du 8 janvier 2016. Les experts ont conclu que le prévenu souffre d'un grave trouble de la personnalité paranoïaque, qui influence toutes ses relations interpersonnelles. Ce trouble se manifeste principalement par une faible tolérance à la frustration, une tendance à l'agir, une interprétativité des événements comme étant en sa défaveur voire contre lui. Ils ont précisé que ce trouble était présent au moment des faits et qu’une consommation</w:t>
      </w:r>
    </w:p>
    <w:p>
      <w:r>
        <w:t>- 15 - d’'alcool avait péjoré les caractéristiques de celui-ci. Le prévenu était toutefois en mesure d'apprécier le caractère illicite de ses actes, même s’il n'était pas totalement en mesure de se déterminer d'après cette appréciation en raison de la décompensation de son trouble de la personnalité sous l'influence de l'alcool, facilitant l'impulsivité, l'interprétativité et le passage à l'acte. Comme le prévenu était déjà en pleine connaissance de son trouble, notamment de son impulsivité, de sa faible tolérance à la frustration, de l'influence de l'alcool sur ses troubles du comportement, les experts ont estimé sa responsabilité comme légèrement diminuée. Ils ont encore relevé que le prévenu présente un risque élevé de commettre des actes de même nature que ceux pour lesquels il a été jugé, notamment s'il continue de consommer de l'alcool. Un suivi psychothérapeutique lié au trouble de la personnalité paranoïaque peut être utile sur le long terme pour autant qu’il se fasse sur un mode volontaire. Le prévenu présente en outre une dépendance au cannabis et une utilisation d'alcool nocive pour la santé. La consommation du cannabis est habituelle depuis une vingtaine d'années, de sorte que, lors de la rédaction de leur rapport, les experts n'ont pas vu de modification notoire au moment des faits et considèrent donc que cette consommation n'a pas eu d'impact sur la commission des faits. Les experts ont ainsi préconisé un traitement institutionnel dans un premier temps ayant pour but l'abstinence à l'alcool, indispensable à la diminution du risque de récidive, puis une prise en charge assumée par une unité de psychiatrie ambulatoire. Dans un rapport complémentaire du 26 septembre 2016, les experts ont confirmé la présence d'un trouble de la personnalité paranoïaque avec traits impulsifs et dyssociaux de l'utilisation d'alcool nocive pour la santé et ont constaté un syndrome de dépendance au cannabis. Ils ont estimé que la prise en charge pour la consommation abusive d'alcool ordonnée par le Tribunal des mesures de contrainte n'avait pas été totalement un échec, la rechute étant liée à la difficulté de l’intéressé à gérer la frustration, à devoir se plier à des règles institutionnelles et aux contraintes liées à une mesure de substitution. Les experts ont expliqué qu’un traitement psychiatrique et</w:t>
      </w:r>
    </w:p>
    <w:p>
      <w:r>
        <w:t>- 16 - psychothérapeutique serait indiqué pour soigner les troubles du prévenu tout en précisant que ces thérapies spécifiques sont de longue durée et que les résultats sont corrélés à un minimum de reconnaissance du trouble, des comportements qui en découlent et à une bonne alliance thérapeutique. Or, les experts ont constaté que ces éléments faisaient défaut dans le cas du prévenu. Ainsi un traitement institutionnel de son trouble de la personnalité ne leur a pas paru propre à entraîner une réduction du risque de récidive à court ou moyen terme. Les chances de succès de ce traitement à long terme seraient d’ailleurs très relatives en raison de la difficulté à traiter ces troubles de la personnalité de manière générale et, chez le prévenu, de l'absence de reconnaissance de son trouble et de désir de changement. Entendu aux débats, le Dr [...] a déclaré, qu’afin d’empêcher un risque de récidive, il serait indiqué de mettre en place un traitement ambulatoire pour la consommation d'alcool, éventuellement pour la consommation de stupéfiants, avec un traitement ambulatoire intégré des troubles psychiatriques du prévenu. 2. 2.1 La vie conjugale a rapidement été émaillée de disputes. En avril 2013, le prévenu a commencé à devenir violent physiquement avec son épouse alors qu’elle était enceinte de 7 mois, et lui a assené une gifle. Au vu de la date de cet acte, cette infraction est désormais prescrite. Le 31 octobre 2014, A.O.________ a asséné un coup à l'arrière du crâne de son épouse avec sa main, ce qui a eu pour effet de la faire tomber à genoux puis perdre connaissance un bref instant. Le 4 février 2015, après que B.O.________ a refusé de donner de l'argent à son mari, ce dernier s'est mis à crier, puis à lancer et casser des objets à travers l'appartement, alors qu'il tenait sa fille dans les bras. Lorsque B.O.________ a tenté de reprendre sa fille, le prévenu l'a poussée et lui a dit « si tu la prends je vais te tuer ». Apeurée, B.O.________ a fait</w:t>
      </w:r>
    </w:p>
    <w:p>
      <w:r>
        <w:t>- 17 - appel à la police. Suite à ces événements, B.O.________ et sa fille ont été emmenées à Malley Prairie. 2.2 Le 19 février 2015, une ordonnance de mesures superprovisionnelles de l'union conjugale a été rendue par le Tribunal d'arrondissement de la Broye et du Nord vaudois, laquelle attribuait notamment la jouissance de l'appartement conjugal à B.O.________, ordonnait au prévenu de se tenir éloigné du domicile conjugal et de son épouse et lui interdisait de la contacter ou de la déranger de quelque manière que ce soit sous la menace de la peine prévue à l'article 292 CP. Faisant fi de ladite ordonnance, A.O.________ s'est rendu plusieurs fois à l'appartement, notamment les 28 février et 3 mars 2015, en s'y introduisant par la fenêtre de la cuisine. Il a en outre téléphoné à de nombreuses reprises sur la ligne fixe de l'appartement, contraignant B.O.________ à la débrancher. Il a également adressé de multiples messages SMS contenant notamment les injures et menaces suivantes : « La salope ne répond plus, baise bien salope, que ta nuit soit avec plein de bites dans ta bouche, sale chienne, fuk, une salope de plus en Suisse, t'as tout le monde dans ta chatte salope, salope, deux salopes toi et ta fille, vous êtes deux putes, je vais venir demain à Malley, sale pute ». 2.3 Le 31 mars 2015, le prévenu a réintégré de force le domicile conjugal, imposant sa présence à sa femme lui déclarant « si tu ne me laisses pas entrer, je te casse en deux ». A partir de ce moment et jusqu'au 6 mai 2015 à tout le moins, A.O.________ a menacé son épouse de mort à une dizaine de reprises, en lui disant qu'il n'accordait pas d'importance au fait de passer 20 ans en prison et qu'elle méritait de crever dans un cercueil. Un soir, il l'a réveillée pour la gifler. 2.4 Le 15 mai 2015, une nouvelle ordonnance de mesures superprovisionnelles de l'union conjugale a été rendue par le Tribunal d'arrondissement de la Broye et du Nord vaudois, ordonnant à A.O.________ de quitter le domicile conjugal avant le 27 mai 2015. Le 18 mai 2015, à réception de cette ordonnance, A.O.________ a très mal réagi et a asséné une gifle, puis un violent coup au visage de B.O.________, lui causant un</w:t>
      </w:r>
    </w:p>
    <w:p>
      <w:r>
        <w:t>- 18 - traumatisme oculaire droit. Le prévenu a alors conduit son épouse auprès d’un médecin et a expliqué à ce dernier que la blessure avait été causée accidentellement par leur fille d’un an. 2.5 A Sainte-Croix, rue [...], entre le 20 juin et le 2 juillet 2015, A.O.________ a crevé les quatre pneus de la voiture Suzuki SX4 d'E.________, qui venait de témoigner au Ministère public dans le cadre de la présente cause. Le véhicule était stationné sur une place dont le prévenu et son épouse étaient titulaires. 2.6 Mercredi 1er juillet 2015, A.O.________ a envoyé des SMS à son épouse contenant notamment les menaces suivantes : « je vais te tuer », « tu es morte », « vendredi tu vas mourir », « vendredi à 17h4t tu es morte (sic) », « j'ai acheté un flingue pour toi », « je suis comme mon père je vais te tuer », « toi et ta fille vous êtes mortes ». 2.7 A Sainte-Croix, entre avril 2013 et juin 2015, A.O.________ a régulièrement consommé du cannabis sous forme de joints. En d roit : 1. Interjeté dans les formes et délais légaux (art. 399 CPP) par une partie ayant la qualité pour recourir contre le jugement d’un tribunal de première instance ayant clos la procédure (art. 398 al. 1 CPP), l’appel d’A.O.________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w:t>
      </w:r>
    </w:p>
    <w:p>
      <w:r>
        <w:t>- 19 -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2. 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w:t>
      </w:r>
    </w:p>
    <w:p>
      <w:r>
        <w:t>- 20 -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2.2 2.2.1 Le prévenu conteste avoir donné une gifle à son épouse en avril 2013 (cf. cas 2.1 supra). Il y a lieu d’écarter ses déclarations au profit de celles de B.O.________ qui sont cohérentes et crédibles. Toutefois, cette infraction est prescrite et ce comportement n’a pas à être sanctionné. L’appelant reproche aux premiers juges de ne pas avoir tenu compte que les événements étaient intervenus lors de graves disputes au sein de couple et dans un contexte de dégradation progressive de la relation conjugale et d'attaques verbales virulentes de la plaignante. Contrairement à ce qu'affirme l'appelant, rien n'indique que la violence du prévenu a seulement fait suite aux attaques verbales de son épouse et qu'il s'est contenté de se défendre ou de riposter. Au demeurant, la plaignante n'a jamais caché que de vives disputes émaillaient leur vie conjugale. Les premiers juges ont exposé de manière complète et pertinente en pages 27 à 29 du jugement les motifs pour lesquels ils ont écarté les déclarations du prévenu qui se pose en victime et celles de de ses sœurs, au bénéfice de celles de la plaignante qui sont corroborées par les pièces du dossier ; la cour de céans fait sienne cette appréciation qui est convaincante et y renvoie. 2.2.2 S’agissant du cas 2.3 (cf. supra), l'appelant soutient que dans sa perception de la situation, son épouse avait accepté qu'il revienne à la maison. On ne saurait suivre l'appelant lorsqu'il affirme que la plaignante s'est accommodée de la situation en raison notamment du fait qu’il gardait leur enfant lorsqu'elle travaillait. Tout au long de la procédure, elle</w:t>
      </w:r>
    </w:p>
    <w:p>
      <w:r>
        <w:t>- 21 - a en effet décrit les menaces dont elle avait fait l'objet et la peur qu’elle avait ressentie. Il y a dès lors lieu de retenir, à l’instar des premiers juges, qu'en raison des menaces proférées par son mari, B.O.________ n'a pas pu s'opposer au retour de l’intéressé. Le prévenu, compte tenu de son propre comportement et de la peur qu'il savait inspirer à son épouse, ne pouvait ignorer qu'il ne s'agissait pas d'un choix libre de sa part. Le fait qu'il se soit occupé de leur enfant n'y change rien. Il n'y a ainsi pas place pour une attitude ambivalente qui a pu le tromper. 2.2.3 S'agissant du cas 2.4 (cf. supra), l'appelant maintient sa version des faits et affirme qu'il n'a pas voulu « faire accuser sa fille » comme les premiers juges l'ont retenu. Selon les déclarations concordantes des deux protagonistes, c’est le prévenu qui a conduit son épouse chez le médecin et qui a voulu taire l'origine des blessures, affirmant que l'enfant avait provoqué celles-ci. En agissant ainsi, on ne dénote pas une réelle volonté du prévenu de faire accuser sa fille d’un an, mais bien plutôt une manière d’expliquer ce qu’il a voulu faire passer pour un accident. L'état de fait a été modifié pour tenir compte de cette nuance. 3. 3.1 L'appelant fait valoir que sa peine est excessive. Il relève que la violence physique qui lui est reprochée s’est exprimée par des coups ponctuels portés exclusivement à mains nues. Il expose qu’en termes de gravité objective, les lésions corporelles qui lui sont en l’espèce reprochées se situent au plus bas du spectre de cette infraction. Il estime que les premiers juges ont insuffisamment tenu compte de son parcours de vie, du contexte dans lequel les actes ont été commis et de la problématique psychiatrique, alors qu’ils ont donné un poids excessif à certaines déclarations qu’il a faites en audience et en procédure. Selon lui, la comparaison avec des affaires récemment jugées par la Cour d’appel pénale du Tribunal cantonal (CAPE 28 juin 2016/240 ; CAPE 10 septembre 2015/349) achève de démontrer l’excès de sévérité du Tribunal correctionnel.</w:t>
      </w:r>
    </w:p>
    <w:p>
      <w:r>
        <w:t>- 22 - 3.2 3.2.1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3.2.2 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consid. 5.6, JdT 2010 IV 127).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w:t>
      </w:r>
    </w:p>
    <w:p>
      <w:r>
        <w:t>- 23 - en modification de la jurisprudence antérieure, il s'agit de diminuer la faute et non la peine ; la réduction de la peine n'est que la conséquence de la faute plus légère (ATF 136 IV 55 précité consid. 5.5). 3.2.3 Dans le cadre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et les arrêts cités; cf. aussi ATF 123 IV 49 consid. 2e). Il ne suffit pas que le recourant puisse citer un ou deux cas où une peine particulièrement clémente a été fixée pour prétendre à un droit à l'égalité de traitement (ATF 120 IV 136 consid. 3a et les références citées). Les disparités en cette matière s'expliquent normalement par le principe de l'individualisation des peines, voulu par le législateur (ATF 135 IV 191 consid. 3.1 ; arrêt 6B_79312011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 TF 6B_334/2009 du 20 juillet 2009 consid. 2.3.; Dupuis et al., Petit commentaire du Code pénal, Bâle 2012, n. 2a ad art. 47 CP ; Favre, Pellet, Stoudmann, Code pénal annoté, Lausanne 2011, n. 1.12 ad art. 47 CP). 3.3 En l'espèce, seules les lésions corporelles simples qualifiées et les menaces doivent être sanctionnées par une peine privative de liberté, dont l'appelant conteste uniquement la quotité, les autres infractions ayant été sanctionnées séparément par des jours-amende et par une amende. La motivation de l'autorité de première instance de la peine de détention exposée en pages 34 à 35 est complète et convaincante, de sorte que la cour de céans, la fait sienne, et se borne, en application de la jurisprudence (TF 6B_812/2015 du 16 juin 2016 consid. 2), à y renvoyer. Pour le surplus, le fait que le prévenu ne s'est pas muni d'une arme ou d'un objet pour frapper son épouse n'implique pas que les coups</w:t>
      </w:r>
    </w:p>
    <w:p>
      <w:r>
        <w:t>- 24 - ont été légers : la plaignante a notamment perdu connaissance un bref instant le 31 octobre 2014 à la suite du coup qu'il lui a asséné sur l'arrière du crâne et elle a reçu un violent coup au visage le 18 mai 2015 lui causant un traumatisme oculaire droit. Les menaces de mort contre B.O.________ et sa fille ont été proférées pendant des mois. La plaignante ne pouvait que les prendre très au sérieux et être effrayée, dès lors que le prévenu a expressément fait référence au meurtre de sa mère par son père. Enfin, il a continué les menaces alors qu'elle était au Foyer Malley Prairie et s'est introduit chez elle alors qu'il en avait l'interdiction, démontrant ainsi sa détermination. C'est ainsi un climat de violence extrême que le prévenu a créé et entretenu durant des mois, les violences redoublant lorsque la plaignante requerrait l'intervention du juge civil. Le fait qu'il a insisté pour qu'elle aille consulter un médecin à la suite du violent coup du 18 mai 2015, qui a occasionné un traumatisme oculaire droit, n'établit pas qu'il regrettait son acte, mais qu'il avait peur des conséquences médicales de celui-ci sur son épouse. On ne discerne pas en quoi consiste le « contexte des actes reprochés » auquel se réfère l'appelant, qui serait selon lui un élément à décharge, rien ne justifiant qu'un époux exerce de telles violences sur son épouse dans le cadre d'un conflit conjugal. En outre, il a été tenu compte des troubles psychiatriques de l'appelant et en particulier de sa tendance à la projection et à l'interprétativité, comme élément à décharge. Par ailleurs, un poids excessif n'a pas été accordé aux déclarations du prévenu et celles-ci n'ont pas été stigmatisées ; en effet, même si son trouble de la personnalité engendre notamment un caractère soupçonneux et une tendance à déformer les événements qu'il interprète comme hostiles ou méprisants à son égard, il n'en demeure pas moins que l'appelant conserve selon l'expertise la capacité de reconnaitre au moins partiellement qu'il a commis des actes délictueux ; or, comme les premiers juges, il y a lieu de constater que sa prise de conscience reste néanmoins inexistante et qu'il a notamment largement dénigré son épouse la traitant de femme vénale et fainéante alors même qu'elle entretenait par son travail le ménage et qu'elle n'a pas mis en doute ses compétences de père, souhaitant seulement échapper à sa violence. A l’audience d’appel, il a encore affirmé que « toute cette histoire » est fausse et que c’est « un scénario</w:t>
      </w:r>
    </w:p>
    <w:p>
      <w:r>
        <w:t>- 25 - d’Hollywood ». Par ailleurs, s’il a démontré qu’il tenait à sa fille, même durant les épisodes de violence, et qu’il a souffert de ne pas pouvoir la voir plus, cela ne l’a pas empêché de la menacer gravement. Enfin, la comparaison avec les deux jugements rendus par la Cour d'appel pénale ne conduit pas à considérer que la peine de 10 mois est excessive et que le résultat est choquant. Il apparaît en effet que la peine de 150 jours-amende prononcée dans l'affaire CAPE 28 juin 2016/240 citée par l'appelant est particulièrement clémente, étant précisé que la Cour d'appel était saisie d'un appel du prévenu, qu'elle était liée par le genre de peine et qu'elle a retenu moins de faits que le premier juge. Par ailleurs, les faits qui ont donné lieu à la peine privative de 8 mois et 20 jours dans la cause CAPE du 10 septembre 2015/349, mentionnée par l'appelant, étaient certes plus graves qu'en l'espèce et le prévenu n'avait pas de diminution légère de sa responsabilité, mais l'auteur n'avait aucun antécédent et n'a pas récidivé en cours d'enquête, contrairement à l'appelant. Ainsi, les comparaisons de peines ne permettent pas de conclure que la peine prononcée en l'état est excessive ou choquante. Il s'ensuit que la culpabilité du prévenu est importante et que la peine de dix mois prononcée par les premiers juges doit être confirmée. 4. En définitive, l’appel interjeté par A.O.________ doit être rejeté et le jugement entrepris intégralement confirmé. Sur la base de la liste des opérations produites par Me Manuela Ryter Godel (P. 203), dont il n’y a pas lieu de s’écarter, il lui sera alloué une indemnité de défenseur d’office pour la procédure d'appel d'un montant de 1'315 fr. 60, TVA et débours inclus. Me Mathieu Genillod, conseil juridique gratuit de B.O.________, a quant à lui produit une liste d’opérations faisant état de 3h48 de temps consacré au dossier et 13 fr. de débours. Dans la mesure où il n’a pas été convoqué à l’audience et que son travail n’a porté que sur des échanges de courriers, les heures annoncées seront réduites à 3 heures. Le montant</w:t>
      </w:r>
    </w:p>
    <w:p>
      <w:r>
        <w:t>- 26 - des débours ne prête quant à lui pas le flanc à la critique et sera entièrement indemnisé. De ce fait, c’est une indemnité de 597 fr. 20, TVA et débours inclus, qui sera allouée à Me Mathieu Genillod. Vu l’issue de la cause, les frais de la procédure d’appel, par 4’482 fr.80, constitués en l’espèce de l’émolument du présent jugement, par 2'570 fr. (art. 21 al. 1 et 2 TFIP [Tarif des frais de procédure et indemnités en matière pénale du 28 septembre 2010 ; RSV 312.03.1]), de l’indemnité de défenseur d’office allouée à Me Manuel Ryter Godel, par 1’315 fr. 60, et de l’indemnité de conseil d’office allouée à Me Mathieu Genillod, par 597 fr. 20, seront mis à la charge d’A.O.________, qui succombe (art. 428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