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PE15.002471 vom 15. Februar 2016</w:t>
      </w:r>
    </w:p>
    <w:p>
      <w:r>
        <w:t>VD Tribunal cantonal, 2016-02-15, FR</w:t>
      </w:r>
    </w:p>
    <w:p>
      <w:r>
        <w:rPr>
          <w:b/>
        </w:rPr>
        <w:t xml:space="preserve">Quelle: </w:t>
      </w:r>
      <w:r>
        <w:t>https://mcp.opencaselaw.ch/entscheid/vd_gerichte_PE15.002471</w:t>
      </w:r>
    </w:p>
    <w:p>
      <w:r>
        <w:t>FR: VD_GERICHTE PE15.002471 du 15 février 2016</w:t>
      </w:r>
    </w:p>
    <w:p>
      <w:r>
        <w:t>IT: VD_GERICHTE PE15.002471 del 15 febbraio 2016</w:t>
      </w:r>
    </w:p>
    <w:p>
      <w:pPr>
        <w:pStyle w:val="Heading2"/>
      </w:pPr>
      <w:r>
        <w:t>Erwägungen</w:t>
      </w:r>
    </w:p>
    <w:p>
      <w:r>
        <w:rPr>
          <w:b/>
        </w:rPr>
        <w:t>E. 4</w:t>
      </w:r>
    </w:p>
    <w:p>
      <w:r>
        <w:t>Les conclusions de K.________ en suppression des conclusions civiles, en indemnisation et en réattribution des frais n'avaient d'objet</w:t>
      </w:r>
    </w:p>
    <w:p>
      <w:r>
        <w:t>- 14 - qu'en cas d'admission de l'appel sur le principe de la condamnation, situation non réalisée en l'espèce. Elles doivent donc être rejetées.</w:t>
      </w:r>
    </w:p>
    <w:p>
      <w:r>
        <w:rPr>
          <w:b/>
        </w:rPr>
        <w:t>E. 5</w:t>
      </w:r>
    </w:p>
    <w:p>
      <w:r>
        <w:t>L'appelante ne remet pas en cause la peine infligée en première instance. Il n'y a donc pas lieu d'y revenir.</w:t>
      </w:r>
    </w:p>
    <w:p>
      <w:r>
        <w:rPr>
          <w:b/>
        </w:rPr>
        <w:t>E. 6.1</w:t>
      </w:r>
    </w:p>
    <w:p>
      <w:r>
        <w:t>En définitive, l'appel de K.________ est mal fondé et doit être rejeté, aux frais de son auteure (art. 428 al. 1 CPP). La recourante, dont la condamnation en première instance a été confirmée en appel, n'a pas droit à l'indemnité qu'elle réclame pour les dépenses occasionnées par l'exercice raisonnable de ses droits en procédure (art. 429 al. 1 let. a CPP a contrario).</w:t>
      </w:r>
    </w:p>
    <w:p>
      <w:r>
        <w:rPr>
          <w:b/>
        </w:rPr>
        <w:t>E. 6.2</w:t>
      </w:r>
    </w:p>
    <w:p>
      <w:r>
        <w:t>Me Matthieu Genillod, conseil de choix de la plaignante, a produit une liste d'opérations faisant état, pour la procédure d'appel, de 7 heures de travail, les débours et la TVA. 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Selon la jurisprudence du Tribunal fédéral, la partie plaignante a obtenu gain de cause au sens de cette norme lorsque le prévenu a été condamné et/ou si les prétentions civiles ont été admises (CAPE 21 juin 2016/210 consid. 8.1). Cette situation est réalisée en l'espèce. Il y a donc lieu d'admettre la requête d'indemnité pour les dépenses obligatoires occasionnées par la procédure de seconde instance déposée par M.________ à l'encontre deK.________. La somme allouée à ce titre est de 1'909 fr. 45. Ce montant prend en compte 7 heures de travail à un tarif horaire de 250 fr. s'agissant d'une affaire jugée par un tribunal de police</w:t>
      </w:r>
    </w:p>
    <w:p>
      <w:r>
        <w:t>- 15 - dont l'avocat prénommé avait déjà connaissance pour l'avoir plaidée en première instance (art. 26a TFIP [tarif des frais de procédure et indemnités en matière pénale du 28 septembre 2010; RSV 312.03.1]), ainsi que 18 fr. de débours et 8 %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